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9A4250" w:rsidTr="00036492">
        <w:tc>
          <w:tcPr>
            <w:tcW w:w="2886" w:type="dxa"/>
          </w:tcPr>
          <w:p w:rsidR="00F6071F" w:rsidRPr="009A425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9A425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9A4250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9A4250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9A4250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9A4250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9A425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9A4250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 وتاريخ القرار بحسب سجل اجراءات الشراء)</w:t>
      </w:r>
    </w:p>
    <w:p w:rsidR="00CF09EC" w:rsidRPr="009A4250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9A4250" w:rsidRDefault="009A4250" w:rsidP="009A4250">
      <w:pPr>
        <w:tabs>
          <w:tab w:val="center" w:pos="5102"/>
          <w:tab w:val="right" w:pos="10204"/>
        </w:tabs>
        <w:spacing w:after="240" w:line="276" w:lineRule="auto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9A4250"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  <w:tab/>
      </w:r>
      <w:r w:rsidR="00155B63" w:rsidRPr="009A4250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  <w:r w:rsidRPr="009A4250"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  <w:tab/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9A4250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0C6B9C" w:rsidRPr="009A4250" w:rsidRDefault="00155B63" w:rsidP="00261CF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A4250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</w:t>
            </w:r>
            <w:r w:rsidR="000C6B9C"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="000C6B9C" w:rsidRPr="009A4250">
              <w:rPr>
                <w:rFonts w:hint="cs"/>
                <w:b/>
                <w:bCs/>
                <w:sz w:val="28"/>
                <w:szCs w:val="28"/>
                <w:rtl/>
              </w:rPr>
              <w:t>طلب عروض الأسعار</w:t>
            </w:r>
            <w:r w:rsidRPr="009A425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(</w:t>
            </w:r>
            <w:r w:rsidR="008512E1">
              <w:rPr>
                <w:b/>
                <w:bCs/>
                <w:color w:val="000000"/>
                <w:sz w:val="24"/>
                <w:szCs w:val="24"/>
              </w:rPr>
              <w:t xml:space="preserve">10 Service Center </w:t>
            </w:r>
            <w:proofErr w:type="spellStart"/>
            <w:r w:rsidR="008512E1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="008512E1" w:rsidRPr="008512E1">
              <w:rPr>
                <w:b/>
                <w:bCs/>
                <w:color w:val="000000"/>
                <w:sz w:val="24"/>
                <w:szCs w:val="24"/>
              </w:rPr>
              <w:t>ignages</w:t>
            </w:r>
            <w:proofErr w:type="spellEnd"/>
            <w:r w:rsidR="00261CFC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512E1" w:rsidRPr="008512E1">
              <w:rPr>
                <w:b/>
                <w:bCs/>
                <w:color w:val="000000"/>
                <w:sz w:val="24"/>
                <w:szCs w:val="24"/>
              </w:rPr>
              <w:t xml:space="preserve"> RFQ</w:t>
            </w:r>
          </w:p>
          <w:p w:rsidR="00155B63" w:rsidRPr="009A4250" w:rsidRDefault="000C6B9C" w:rsidP="00261CF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9A4250">
              <w:rPr>
                <w:color w:val="000000"/>
                <w:sz w:val="24"/>
                <w:szCs w:val="24"/>
              </w:rPr>
              <w:t xml:space="preserve"> </w:t>
            </w:r>
            <w:r w:rsidRPr="009A42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55B63" w:rsidRPr="009A4250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="00155B63" w:rsidRPr="009A4250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5B6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27A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24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017098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155B6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727AC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7</w:t>
            </w:r>
            <w:r w:rsidR="00BC70BF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727A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March 2024</w:t>
            </w:r>
            <w:r w:rsidR="00783CB3" w:rsidRPr="009A425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9A4250" w:rsidTr="00526B34">
        <w:trPr>
          <w:trHeight w:val="3487"/>
        </w:trPr>
        <w:tc>
          <w:tcPr>
            <w:tcW w:w="10342" w:type="dxa"/>
            <w:gridSpan w:val="2"/>
          </w:tcPr>
          <w:p w:rsidR="001C5A1E" w:rsidRPr="009A4250" w:rsidRDefault="00956969" w:rsidP="0043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_GoBack" w:colFirst="1" w:colLast="1"/>
            <w:r w:rsidRPr="009A425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March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</w:t>
            </w:r>
            <w:r w:rsidR="00436CD6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155B63" w:rsidRPr="009A425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9A425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55B63" w:rsidRPr="009A4250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9A425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9A4250" w:rsidRDefault="00155B63" w:rsidP="00261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A42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16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April 2024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at 1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261CF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CC47B4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:00 am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9A4250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9A4250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9A4250" w:rsidRDefault="00CF09EC" w:rsidP="0097572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9A4250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9A425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9A4250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9A4250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9A4250">
              <w:rPr>
                <w:color w:val="000000"/>
                <w:sz w:val="24"/>
                <w:szCs w:val="24"/>
                <w:rtl/>
              </w:rPr>
              <w:br/>
            </w:r>
            <w:r w:rsidRPr="009A4250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9A4250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9A4250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="00975727" w:rsidRPr="009A425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lang w:bidi="ar-LB"/>
              </w:rPr>
              <w:t>)</w:t>
            </w:r>
            <w:r w:rsidRPr="009A4250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75727" w:rsidRPr="009A425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9A4250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9A4250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9A4250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9A4250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bookmarkEnd w:id="0"/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9A4250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9A4250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9A4250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9A4250" w:rsidRDefault="00975727" w:rsidP="00261CFC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2</w:t>
                  </w:r>
                  <w:r w:rsidR="00261CFC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6</w:t>
                  </w: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March 2024</w:t>
                  </w:r>
                  <w:r w:rsidR="00CC47B4"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9A4250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9A4250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52228"/>
    <w:rsid w:val="000C6B9C"/>
    <w:rsid w:val="000E67ED"/>
    <w:rsid w:val="00130184"/>
    <w:rsid w:val="00155B63"/>
    <w:rsid w:val="001C5A1E"/>
    <w:rsid w:val="00246BD7"/>
    <w:rsid w:val="00261CFC"/>
    <w:rsid w:val="003A0B4E"/>
    <w:rsid w:val="00423E48"/>
    <w:rsid w:val="00436CD6"/>
    <w:rsid w:val="00476107"/>
    <w:rsid w:val="004B209C"/>
    <w:rsid w:val="00526B34"/>
    <w:rsid w:val="00727AC3"/>
    <w:rsid w:val="007734E0"/>
    <w:rsid w:val="00783CB3"/>
    <w:rsid w:val="007F77DE"/>
    <w:rsid w:val="007F7B78"/>
    <w:rsid w:val="008512E1"/>
    <w:rsid w:val="008836B9"/>
    <w:rsid w:val="008A187C"/>
    <w:rsid w:val="008E161A"/>
    <w:rsid w:val="009341B1"/>
    <w:rsid w:val="00956969"/>
    <w:rsid w:val="00975727"/>
    <w:rsid w:val="0099058F"/>
    <w:rsid w:val="009A4250"/>
    <w:rsid w:val="00A93A0B"/>
    <w:rsid w:val="00AB4123"/>
    <w:rsid w:val="00AE5862"/>
    <w:rsid w:val="00BC70BF"/>
    <w:rsid w:val="00CC47B4"/>
    <w:rsid w:val="00CF09EC"/>
    <w:rsid w:val="00D20FB7"/>
    <w:rsid w:val="00D4036A"/>
    <w:rsid w:val="00D47854"/>
    <w:rsid w:val="00D77D1C"/>
    <w:rsid w:val="00E6667C"/>
    <w:rsid w:val="00E6751F"/>
    <w:rsid w:val="00F2116A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CA0F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4</cp:revision>
  <cp:lastPrinted>2023-07-12T10:09:00Z</cp:lastPrinted>
  <dcterms:created xsi:type="dcterms:W3CDTF">2024-03-21T10:37:00Z</dcterms:created>
  <dcterms:modified xsi:type="dcterms:W3CDTF">2024-03-26T08:50:00Z</dcterms:modified>
</cp:coreProperties>
</file>