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FC5F34" w:rsidP="00FC5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  <w:t>مستشفى راشيا الحكومي</w:t>
            </w:r>
          </w:p>
        </w:tc>
      </w:tr>
    </w:tbl>
    <w:p w:rsidR="00CA0197" w:rsidRDefault="00CA0197" w:rsidP="00FC5F34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FC5F34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70/2024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FC5F34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FC5F34">
        <w:rPr>
          <w:rFonts w:hint="cs"/>
          <w:b/>
          <w:bCs/>
          <w:sz w:val="32"/>
          <w:szCs w:val="32"/>
          <w:rtl/>
          <w:lang w:bidi="ar-LB"/>
        </w:rPr>
        <w:t>مناقصة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FC5F3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FC5F34">
              <w:rPr>
                <w:rFonts w:hint="cs"/>
                <w:b/>
                <w:sz w:val="28"/>
                <w:szCs w:val="28"/>
                <w:rtl/>
              </w:rPr>
              <w:t>مناقصة-بياضات اقمشة- مطبوعات وقرطلسية- قطع صيانة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FC5F3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FC5F34">
              <w:rPr>
                <w:rFonts w:hint="cs"/>
                <w:sz w:val="28"/>
                <w:szCs w:val="28"/>
                <w:rtl/>
              </w:rPr>
              <w:t>1712/2024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FC5F34">
              <w:rPr>
                <w:rFonts w:hint="cs"/>
                <w:sz w:val="28"/>
                <w:szCs w:val="28"/>
                <w:rtl/>
              </w:rPr>
              <w:t>13/11/2024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C5F34" w:rsidRPr="00FC5F34" w:rsidRDefault="00FC5F34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rFonts w:hint="cs"/>
                <w:color w:val="000000"/>
                <w:sz w:val="28"/>
                <w:szCs w:val="28"/>
              </w:rPr>
            </w:pPr>
          </w:p>
          <w:p w:rsidR="007D3127" w:rsidRDefault="00E34ED2" w:rsidP="00FC5F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FC5F34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صباحا من تاريخ 7/12/2024</w:t>
            </w:r>
            <w:r>
              <w:rPr>
                <w:color w:val="000000"/>
                <w:sz w:val="28"/>
                <w:szCs w:val="28"/>
                <w:rtl/>
              </w:rPr>
              <w:t xml:space="preserve">) اجتمعت لجنة التلزيم </w:t>
            </w:r>
            <w:r w:rsidR="00FC5F34">
              <w:rPr>
                <w:rFonts w:hint="cs"/>
                <w:color w:val="000000"/>
                <w:sz w:val="28"/>
                <w:szCs w:val="28"/>
                <w:rtl/>
              </w:rPr>
              <w:t xml:space="preserve">لفض عروض مناقصة رقم 70/2024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FC5F34">
              <w:rPr>
                <w:rFonts w:hint="cs"/>
                <w:color w:val="000000"/>
                <w:sz w:val="28"/>
                <w:szCs w:val="28"/>
                <w:rtl/>
              </w:rPr>
              <w:t xml:space="preserve"> ( بياضات واقمشة- مطبوعات وقرطاسية- قطع صيانة)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FC5F3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FC5F34">
              <w:rPr>
                <w:rFonts w:hint="cs"/>
                <w:color w:val="000000"/>
                <w:sz w:val="28"/>
                <w:szCs w:val="28"/>
                <w:rtl/>
              </w:rPr>
              <w:t>ونظرا لعدم تقدم احد من الموردين تم الغاء المناقصة وابلاغ من يلزم</w:t>
            </w:r>
            <w:r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7D3127" w:rsidRDefault="007D3127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p w:rsidR="00F345CF" w:rsidRDefault="00FC5F34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7/12/2024</w:t>
      </w:r>
    </w:p>
    <w:p w:rsidR="00FC5F34" w:rsidRDefault="00FC5F34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رمزي ابو صفا </w:t>
      </w:r>
    </w:p>
    <w:p w:rsidR="00FC5F34" w:rsidRDefault="00FC5F34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رئيس قسم المشتريات والمستودعات</w:t>
      </w:r>
    </w:p>
    <w:p w:rsidR="00FC5F34" w:rsidRPr="00F345CF" w:rsidRDefault="00FC5F34" w:rsidP="00F345CF">
      <w:r>
        <w:rPr>
          <w:rFonts w:hint="cs"/>
          <w:bCs/>
          <w:sz w:val="28"/>
          <w:szCs w:val="28"/>
          <w:rtl/>
        </w:rPr>
        <w:t>مستشفى راشيا الحكومي</w:t>
      </w:r>
    </w:p>
    <w:sectPr w:rsidR="00FC5F34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5B4A38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DC017C"/>
    <w:rsid w:val="00E34ED2"/>
    <w:rsid w:val="00E678B7"/>
    <w:rsid w:val="00F345CF"/>
    <w:rsid w:val="00F96123"/>
    <w:rsid w:val="00FC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2024-12-10T09:34:00Z</dcterms:created>
  <dcterms:modified xsi:type="dcterms:W3CDTF">2024-12-10T09:34:00Z</dcterms:modified>
</cp:coreProperties>
</file>