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94F" w:rsidRDefault="003E594F" w:rsidP="00AF20DE">
      <w:pPr>
        <w:spacing w:line="240" w:lineRule="auto"/>
        <w:ind w:left="1" w:hanging="3"/>
        <w:jc w:val="both"/>
        <w:rPr>
          <w:b/>
          <w:bCs/>
          <w:sz w:val="28"/>
          <w:szCs w:val="28"/>
          <w:rtl/>
        </w:rPr>
      </w:pPr>
    </w:p>
    <w:p w:rsidR="00B235FD" w:rsidRPr="002B494C" w:rsidRDefault="00E93990" w:rsidP="00176788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دعوة للإعلان عن </w:t>
      </w:r>
      <w:r w:rsidR="003716B1">
        <w:rPr>
          <w:rFonts w:hint="cs"/>
          <w:b/>
          <w:bCs/>
          <w:sz w:val="28"/>
          <w:szCs w:val="28"/>
          <w:rtl/>
        </w:rPr>
        <w:t xml:space="preserve">طلب </w:t>
      </w:r>
      <w:r w:rsidR="00176788">
        <w:rPr>
          <w:rFonts w:hint="cs"/>
          <w:b/>
          <w:bCs/>
          <w:sz w:val="28"/>
          <w:szCs w:val="28"/>
          <w:rtl/>
          <w:lang w:bidi="ar-LB"/>
        </w:rPr>
        <w:t>مناقصة عمومية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Pr="00E93990" w:rsidRDefault="00194643" w:rsidP="007F36D7">
            <w:pPr>
              <w:spacing w:line="240" w:lineRule="auto"/>
              <w:ind w:hanging="2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إدارة واستثمار </w:t>
            </w:r>
            <w:r w:rsidR="00E93990" w:rsidRPr="00E93990">
              <w:rPr>
                <w:rFonts w:hint="cs"/>
                <w:color w:val="000000"/>
                <w:sz w:val="28"/>
                <w:szCs w:val="28"/>
                <w:rtl/>
              </w:rPr>
              <w:t>مرفأ بيروت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Pr="00E93990" w:rsidRDefault="00E93990" w:rsidP="007F36D7">
            <w:pPr>
              <w:spacing w:line="240" w:lineRule="auto"/>
              <w:ind w:hanging="2"/>
              <w:jc w:val="left"/>
              <w:rPr>
                <w:color w:val="000000"/>
                <w:sz w:val="26"/>
                <w:szCs w:val="26"/>
                <w:rtl/>
                <w:lang w:bidi="ar-LB"/>
              </w:rPr>
            </w:pPr>
            <w:r w:rsidRPr="00E93990">
              <w:rPr>
                <w:rFonts w:hint="cs"/>
                <w:color w:val="000000"/>
                <w:sz w:val="26"/>
                <w:szCs w:val="26"/>
                <w:rtl/>
              </w:rPr>
              <w:t xml:space="preserve">مرفأ بيروت </w:t>
            </w:r>
            <w:r w:rsidRPr="00E93990">
              <w:rPr>
                <w:color w:val="000000"/>
                <w:sz w:val="26"/>
                <w:szCs w:val="26"/>
                <w:rtl/>
              </w:rPr>
              <w:t>–</w:t>
            </w:r>
            <w:r w:rsidR="00194643">
              <w:rPr>
                <w:rFonts w:hint="cs"/>
                <w:color w:val="000000"/>
                <w:sz w:val="26"/>
                <w:szCs w:val="26"/>
                <w:rtl/>
              </w:rPr>
              <w:t xml:space="preserve"> </w:t>
            </w:r>
            <w:r w:rsidRPr="00E93990">
              <w:rPr>
                <w:rFonts w:hint="cs"/>
                <w:color w:val="000000"/>
                <w:sz w:val="26"/>
                <w:szCs w:val="26"/>
                <w:rtl/>
              </w:rPr>
              <w:t xml:space="preserve">منطقة الكرنتينا </w:t>
            </w:r>
            <w:r w:rsidRPr="00E93990">
              <w:rPr>
                <w:color w:val="000000"/>
                <w:sz w:val="26"/>
                <w:szCs w:val="26"/>
                <w:rtl/>
              </w:rPr>
              <w:t>–</w:t>
            </w:r>
            <w:r w:rsidR="00194643">
              <w:rPr>
                <w:rFonts w:hint="cs"/>
                <w:color w:val="000000"/>
                <w:sz w:val="26"/>
                <w:szCs w:val="26"/>
                <w:rtl/>
              </w:rPr>
              <w:t xml:space="preserve"> بيروت- لبنان (</w:t>
            </w:r>
            <w:r w:rsidRPr="00E93990">
              <w:rPr>
                <w:rFonts w:hint="cs"/>
                <w:color w:val="000000"/>
                <w:sz w:val="26"/>
                <w:szCs w:val="26"/>
                <w:rtl/>
              </w:rPr>
              <w:t xml:space="preserve">مدخل المرفأ مقابل البوابة رقم 14-المباني الادارية/بلوك </w:t>
            </w:r>
            <w:r w:rsidRPr="00E93990">
              <w:rPr>
                <w:color w:val="000000"/>
                <w:sz w:val="26"/>
                <w:szCs w:val="26"/>
              </w:rPr>
              <w:t>C</w:t>
            </w:r>
            <w:r w:rsidRPr="00E93990">
              <w:rPr>
                <w:rFonts w:hint="cs"/>
                <w:color w:val="000000"/>
                <w:sz w:val="26"/>
                <w:szCs w:val="26"/>
                <w:rtl/>
                <w:lang w:bidi="ar-LB"/>
              </w:rPr>
              <w:t>)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0C00C1" w:rsidRDefault="00E02AA9" w:rsidP="00E02AA9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</w:t>
            </w:r>
            <w:r w:rsidR="00B3438A" w:rsidRPr="000C00C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>
              <w:rPr>
                <w:b/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02AA9" w:rsidRDefault="00194643" w:rsidP="00E02AA9">
            <w:pPr>
              <w:pStyle w:val="BodyText"/>
              <w:tabs>
                <w:tab w:val="clear" w:pos="368"/>
                <w:tab w:val="left" w:pos="226"/>
              </w:tabs>
              <w:spacing w:line="276" w:lineRule="auto"/>
              <w:jc w:val="both"/>
              <w:rPr>
                <w:rFonts w:hint="cs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دفترا</w:t>
            </w:r>
            <w:r w:rsidR="00E02AA9">
              <w:rPr>
                <w:rFonts w:hint="cs"/>
                <w:color w:val="000000"/>
                <w:sz w:val="24"/>
                <w:szCs w:val="24"/>
                <w:rtl/>
              </w:rPr>
              <w:t xml:space="preserve">لشروط </w:t>
            </w:r>
            <w:r w:rsidR="00E02AA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الخاص</w:t>
            </w:r>
            <w:r w:rsidR="00EA580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02AA9">
              <w:rPr>
                <w:rFonts w:hint="cs"/>
                <w:color w:val="000000"/>
                <w:sz w:val="24"/>
                <w:szCs w:val="24"/>
                <w:rtl/>
              </w:rPr>
              <w:t>ب</w:t>
            </w:r>
            <w:r w:rsidR="0059412C">
              <w:rPr>
                <w:rFonts w:hint="cs"/>
                <w:color w:val="000000"/>
                <w:sz w:val="24"/>
                <w:szCs w:val="24"/>
                <w:rtl/>
              </w:rPr>
              <w:t xml:space="preserve">مناقصة </w:t>
            </w:r>
            <w:r w:rsidR="00E02AA9">
              <w:rPr>
                <w:rFonts w:hint="cs"/>
                <w:color w:val="000000"/>
                <w:sz w:val="24"/>
                <w:szCs w:val="24"/>
                <w:rtl/>
              </w:rPr>
              <w:t xml:space="preserve">عمومية لتلزيم تامين الممتلكات ضد جميع المخاطر-  </w:t>
            </w:r>
          </w:p>
          <w:p w:rsidR="00B235FD" w:rsidRPr="00A94D5B" w:rsidRDefault="00E02AA9" w:rsidP="00E02AA9">
            <w:pPr>
              <w:pStyle w:val="BodyText"/>
              <w:tabs>
                <w:tab w:val="clear" w:pos="368"/>
                <w:tab w:val="left" w:pos="226"/>
              </w:tabs>
              <w:spacing w:line="276" w:lineRule="auto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 xml:space="preserve"> Property All Risks Insurance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لدى إدارة وإستثمار</w:t>
            </w:r>
            <w:r w:rsidR="00A94D5B" w:rsidRPr="00A94D5B">
              <w:rPr>
                <w:rFonts w:hint="cs"/>
                <w:color w:val="000000"/>
                <w:sz w:val="24"/>
                <w:szCs w:val="24"/>
                <w:rtl/>
              </w:rPr>
              <w:t>مرفأ بيروت.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4B72DF" w:rsidP="00E3588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تلزيم تأمين </w:t>
            </w:r>
            <w:r w:rsidR="00E3588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الممتلكات لدى إدارة وإستثمار </w:t>
            </w:r>
            <w:r w:rsidR="00E35887">
              <w:rPr>
                <w:rFonts w:hint="cs"/>
                <w:color w:val="000000"/>
                <w:sz w:val="24"/>
                <w:szCs w:val="24"/>
                <w:rtl/>
              </w:rPr>
              <w:t>م</w:t>
            </w:r>
            <w:r w:rsidR="00A94D5B">
              <w:rPr>
                <w:rFonts w:hint="cs"/>
                <w:color w:val="000000"/>
                <w:sz w:val="24"/>
                <w:szCs w:val="24"/>
                <w:rtl/>
              </w:rPr>
              <w:t>رفأ بيروت</w:t>
            </w:r>
            <w:r w:rsidR="0059412C">
              <w:rPr>
                <w:rFonts w:hint="cs"/>
                <w:color w:val="000000"/>
                <w:sz w:val="24"/>
                <w:szCs w:val="24"/>
                <w:rtl/>
              </w:rPr>
              <w:t xml:space="preserve">.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9412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  <w:r w:rsidR="00E35887">
              <w:rPr>
                <w:rFonts w:hint="cs"/>
                <w:color w:val="000000"/>
                <w:sz w:val="24"/>
                <w:szCs w:val="24"/>
                <w:rtl/>
              </w:rPr>
              <w:t xml:space="preserve"> تأمين</w:t>
            </w:r>
            <w:r w:rsidR="00B04050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04050" w:rsidP="00C369B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عمومية.</w:t>
            </w:r>
          </w:p>
        </w:tc>
      </w:tr>
      <w:tr w:rsidR="009A3962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A3962" w:rsidRPr="00AF20DE" w:rsidRDefault="00A94D5B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يرسوا الإلتزام مؤقتاً على خبرة العارض في مجال التأمين وإعادة التأمين ومن قدم أدنى الأسعار لقسط التأمين ولا تعتبر الصفقة نهائية إلا بعد مرور عشرة أيام على نش</w:t>
            </w:r>
            <w:r w:rsidR="00524E47">
              <w:rPr>
                <w:rFonts w:hint="cs"/>
                <w:color w:val="000000"/>
                <w:sz w:val="24"/>
                <w:szCs w:val="24"/>
                <w:rtl/>
              </w:rPr>
              <w:t>ر الإدارة لقرار قبول الفائز(فترة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التجميد).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59412C" w:rsidP="00E35842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غير معلنة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8D4688" w:rsidP="00E3588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C00C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E3588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500</w:t>
            </w:r>
            <w:r w:rsidRPr="000C00C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/$</w:t>
            </w:r>
            <w:bookmarkStart w:id="0" w:name="_GoBack"/>
            <w:bookmarkEnd w:id="0"/>
            <w:r w:rsidR="0059412C">
              <w:rPr>
                <w:rFonts w:hint="cs"/>
                <w:color w:val="000000"/>
                <w:sz w:val="24"/>
                <w:szCs w:val="24"/>
                <w:rtl/>
              </w:rPr>
              <w:t xml:space="preserve"> (</w:t>
            </w:r>
            <w:r w:rsidR="00663B05">
              <w:rPr>
                <w:rFonts w:hint="cs"/>
                <w:color w:val="000000"/>
                <w:sz w:val="24"/>
                <w:szCs w:val="24"/>
                <w:rtl/>
              </w:rPr>
              <w:t xml:space="preserve">فقط </w:t>
            </w:r>
            <w:r w:rsidR="00E35887">
              <w:rPr>
                <w:rFonts w:hint="cs"/>
                <w:color w:val="000000"/>
                <w:sz w:val="24"/>
                <w:szCs w:val="24"/>
                <w:rtl/>
              </w:rPr>
              <w:t>خمسمائة دولار أميركي</w:t>
            </w:r>
            <w:r w:rsidR="00663B05">
              <w:rPr>
                <w:rFonts w:hint="cs"/>
                <w:color w:val="000000"/>
                <w:sz w:val="24"/>
                <w:szCs w:val="24"/>
                <w:rtl/>
              </w:rPr>
              <w:t xml:space="preserve"> لا غير</w:t>
            </w:r>
            <w:r w:rsidR="0059412C">
              <w:rPr>
                <w:rFonts w:hint="cs"/>
                <w:color w:val="000000"/>
                <w:sz w:val="24"/>
                <w:szCs w:val="24"/>
                <w:rtl/>
              </w:rPr>
              <w:t>) نقداً.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CA2CD6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CA2CD6" w:rsidP="00E358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حدد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الثانىة والمادة الرابعة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من ملف التلزيم المعايير والإجراءات التي تستخدم للتأكد من مؤهلات </w:t>
            </w:r>
            <w:r w:rsidR="00E35842">
              <w:rPr>
                <w:color w:val="000000"/>
                <w:sz w:val="24"/>
                <w:szCs w:val="24"/>
                <w:rtl/>
              </w:rPr>
              <w:t>العارضين، ولأيّ أدلة مستندية أو</w:t>
            </w:r>
            <w:r w:rsidR="00E3584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A7C6C">
              <w:rPr>
                <w:color w:val="000000"/>
                <w:sz w:val="24"/>
                <w:szCs w:val="24"/>
                <w:rtl/>
              </w:rPr>
              <w:t>معلومات أخرى يجب على العارضين</w:t>
            </w:r>
            <w:r w:rsidR="00B3438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أن </w:t>
            </w:r>
            <w:r w:rsidR="00B3438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A7C6C">
              <w:rPr>
                <w:color w:val="000000"/>
                <w:sz w:val="24"/>
                <w:szCs w:val="24"/>
                <w:rtl/>
              </w:rPr>
              <w:t>يقدّموها لإثبات مؤهلاتهم وكذلك طريق</w:t>
            </w:r>
            <w:r w:rsidR="00B3438A">
              <w:rPr>
                <w:rFonts w:hint="cs"/>
                <w:color w:val="000000"/>
                <w:sz w:val="24"/>
                <w:szCs w:val="24"/>
                <w:rtl/>
              </w:rPr>
              <w:t>ــ</w:t>
            </w:r>
            <w:r w:rsidR="00CA7C6C">
              <w:rPr>
                <w:color w:val="000000"/>
                <w:sz w:val="24"/>
                <w:szCs w:val="24"/>
                <w:rtl/>
              </w:rPr>
              <w:t>ة تقييم العروض.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7675"/>
      </w:tblGrid>
      <w:tr w:rsidR="00801F32" w:rsidRPr="000F5BBC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172A5" w:rsidRDefault="009552E8" w:rsidP="00E3588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التاريخ (</w:t>
            </w:r>
            <w:r w:rsidR="00E35887">
              <w:rPr>
                <w:rFonts w:hint="cs"/>
                <w:color w:val="000000"/>
                <w:sz w:val="24"/>
                <w:szCs w:val="24"/>
                <w:rtl/>
              </w:rPr>
              <w:t>24</w:t>
            </w:r>
            <w:r w:rsidR="00E77F7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E35887"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 w:rsidR="00E77F7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E35887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B3438A">
              <w:rPr>
                <w:rFonts w:hint="cs"/>
                <w:color w:val="000000"/>
                <w:sz w:val="24"/>
                <w:szCs w:val="24"/>
                <w:rtl/>
              </w:rPr>
              <w:t>عند</w:t>
            </w:r>
            <w:r>
              <w:rPr>
                <w:color w:val="000000"/>
                <w:sz w:val="24"/>
                <w:szCs w:val="24"/>
                <w:rtl/>
              </w:rPr>
              <w:t xml:space="preserve"> الساعة (</w:t>
            </w:r>
            <w:r w:rsidR="00411389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031078">
              <w:rPr>
                <w:rFonts w:hint="cs"/>
                <w:color w:val="000000"/>
                <w:sz w:val="24"/>
                <w:szCs w:val="24"/>
                <w:rtl/>
              </w:rPr>
              <w:t>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29172A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172A" w:rsidRDefault="0029172A" w:rsidP="00E3588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التاريخ </w:t>
            </w:r>
            <w:r w:rsidR="001035F0">
              <w:rPr>
                <w:color w:val="000000"/>
                <w:sz w:val="24"/>
                <w:szCs w:val="24"/>
                <w:rtl/>
              </w:rPr>
              <w:t>(</w:t>
            </w:r>
            <w:r w:rsidR="00E35887">
              <w:rPr>
                <w:rFonts w:hint="cs"/>
                <w:color w:val="000000"/>
                <w:sz w:val="24"/>
                <w:szCs w:val="24"/>
                <w:rtl/>
              </w:rPr>
              <w:t>24</w:t>
            </w:r>
            <w:r w:rsidR="001035F0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E35887"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 w:rsidR="001035F0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E35887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B3438A">
              <w:rPr>
                <w:rFonts w:hint="cs"/>
                <w:color w:val="000000"/>
                <w:sz w:val="24"/>
                <w:szCs w:val="24"/>
                <w:rtl/>
              </w:rPr>
              <w:t>عند</w:t>
            </w:r>
            <w:r>
              <w:rPr>
                <w:color w:val="000000"/>
                <w:sz w:val="24"/>
                <w:szCs w:val="24"/>
                <w:rtl/>
              </w:rPr>
              <w:t xml:space="preserve"> الساعة (</w:t>
            </w:r>
            <w:r w:rsidR="00411389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CA2CD6">
              <w:rPr>
                <w:rFonts w:hint="cs"/>
                <w:color w:val="000000"/>
                <w:sz w:val="24"/>
                <w:szCs w:val="24"/>
                <w:rtl/>
              </w:rPr>
              <w:t>:00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A172A5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172A5" w:rsidRDefault="003E49E0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</w:t>
            </w:r>
            <w:r w:rsidR="00A172A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172A5" w:rsidRDefault="00CE551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3E49E0">
              <w:rPr>
                <w:rFonts w:hint="cs"/>
                <w:color w:val="000000"/>
                <w:sz w:val="24"/>
                <w:szCs w:val="24"/>
                <w:rtl/>
              </w:rPr>
              <w:t xml:space="preserve"> يوماً</w:t>
            </w:r>
            <w:r w:rsidR="00A172A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E77F72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E77F72" w:rsidRDefault="00E77F72" w:rsidP="00FD4A72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الموعد النهائي لتقديم طلبات الاستيضا</w:t>
            </w:r>
            <w:r w:rsidR="00FD4A72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ح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77F72" w:rsidRDefault="00E77F72" w:rsidP="009D722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التاريخ (</w:t>
            </w:r>
            <w:r w:rsidR="009D722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13</w:t>
            </w:r>
            <w:r w:rsidR="00B3438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 w:rsidR="009D722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02</w:t>
            </w:r>
            <w:r w:rsidR="00B3438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 w:rsidR="009D722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2025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) على الساعة (</w:t>
            </w:r>
            <w:r w:rsidR="00C6515C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:00)</w:t>
            </w:r>
          </w:p>
        </w:tc>
      </w:tr>
      <w:tr w:rsidR="00CA2CD6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CA2CD6" w:rsidRDefault="00CA2CD6" w:rsidP="00FD4A72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الموعد النهائي للرد على طلبات الاستيضا</w:t>
            </w:r>
            <w:r w:rsidR="00FD4A72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ح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A2CD6" w:rsidRDefault="00CA2CD6" w:rsidP="009D722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التاريخ (</w:t>
            </w:r>
            <w:r w:rsidR="009D722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19</w:t>
            </w:r>
            <w:r w:rsidR="00B3438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 w:rsidR="009D722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02</w:t>
            </w:r>
            <w:r w:rsidR="00B3438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 w:rsidR="009D722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2025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) على الساعة (2:00)</w:t>
            </w:r>
          </w:p>
        </w:tc>
      </w:tr>
      <w:tr w:rsidR="00E77F72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E77F72" w:rsidRDefault="00E77F72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مدة صلاحية العرض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77F72" w:rsidRDefault="00E35887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</w:t>
            </w:r>
            <w:r w:rsidR="00E3584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يوماً</w:t>
            </w:r>
            <w:r w:rsidR="001D61C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بعد آخر يوم من تاريخ تقديم العروض.</w:t>
            </w:r>
          </w:p>
        </w:tc>
      </w:tr>
      <w:tr w:rsidR="00A172A5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A172A5" w:rsidRDefault="001D61CA" w:rsidP="00E358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</w:t>
            </w:r>
            <w:r w:rsidR="00E35842">
              <w:rPr>
                <w:rFonts w:hint="cs"/>
                <w:color w:val="000000"/>
                <w:sz w:val="24"/>
                <w:szCs w:val="24"/>
                <w:rtl/>
              </w:rPr>
              <w:t>إ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دارة و</w:t>
            </w:r>
            <w:r w:rsidR="00E35842">
              <w:rPr>
                <w:rFonts w:hint="cs"/>
                <w:color w:val="000000"/>
                <w:sz w:val="24"/>
                <w:szCs w:val="24"/>
                <w:rtl/>
              </w:rPr>
              <w:t>إ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ستثمار مرفأ بيروت-</w:t>
            </w:r>
            <w:r w:rsidR="00E3584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بلوك </w:t>
            </w: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- الطابق الخامس-</w:t>
            </w:r>
            <w:r w:rsidR="00E3584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مصلحة الديوان</w:t>
            </w:r>
          </w:p>
        </w:tc>
      </w:tr>
      <w:tr w:rsidR="00A172A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172A5" w:rsidRDefault="001D61CA" w:rsidP="00E358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</w:t>
            </w:r>
            <w:r w:rsidR="00E35842">
              <w:rPr>
                <w:rFonts w:hint="cs"/>
                <w:color w:val="000000"/>
                <w:sz w:val="24"/>
                <w:szCs w:val="24"/>
                <w:rtl/>
              </w:rPr>
              <w:t>إ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دارة و</w:t>
            </w:r>
            <w:r w:rsidR="00E35842">
              <w:rPr>
                <w:rFonts w:hint="cs"/>
                <w:color w:val="000000"/>
                <w:sz w:val="24"/>
                <w:szCs w:val="24"/>
                <w:rtl/>
              </w:rPr>
              <w:t>إ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ستثمار مرفأ بيروت-</w:t>
            </w:r>
            <w:r w:rsidR="00E3584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بلوك </w:t>
            </w: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- الطابق الخامس-</w:t>
            </w:r>
            <w:r w:rsidR="00E3584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مصلحة الديوان</w:t>
            </w:r>
          </w:p>
        </w:tc>
      </w:tr>
      <w:tr w:rsidR="00A172A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A172A5" w:rsidRPr="000F5BBC" w:rsidRDefault="001D61CA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موعد الزيارة الالزامية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A172A5" w:rsidRDefault="00663B05" w:rsidP="00C171F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</w:tbl>
    <w:p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206B49" w:rsidRPr="000F5BBC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206B49" w:rsidRDefault="00031078" w:rsidP="00E3588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بقيمة </w:t>
            </w:r>
            <w:r w:rsidR="00E3584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CE5515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E35842">
              <w:rPr>
                <w:rFonts w:hint="cs"/>
                <w:color w:val="000000"/>
                <w:sz w:val="24"/>
                <w:szCs w:val="24"/>
                <w:rtl/>
              </w:rPr>
              <w:t>,000/</w:t>
            </w:r>
            <w:r w:rsidR="00220BD8">
              <w:rPr>
                <w:rFonts w:hint="cs"/>
                <w:color w:val="000000"/>
                <w:sz w:val="24"/>
                <w:szCs w:val="24"/>
                <w:rtl/>
              </w:rPr>
              <w:t>د.أ (</w:t>
            </w:r>
            <w:r w:rsidR="00E35887">
              <w:rPr>
                <w:rFonts w:hint="cs"/>
                <w:color w:val="000000"/>
                <w:sz w:val="24"/>
                <w:szCs w:val="24"/>
                <w:rtl/>
              </w:rPr>
              <w:t xml:space="preserve">فقط أربعة </w:t>
            </w:r>
            <w:r w:rsidR="00CE5515">
              <w:rPr>
                <w:rFonts w:hint="cs"/>
                <w:color w:val="000000"/>
                <w:sz w:val="24"/>
                <w:szCs w:val="24"/>
                <w:rtl/>
              </w:rPr>
              <w:t>أل</w:t>
            </w:r>
            <w:r w:rsidR="00E35887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="00CE5515">
              <w:rPr>
                <w:rFonts w:hint="cs"/>
                <w:color w:val="000000"/>
                <w:sz w:val="24"/>
                <w:szCs w:val="24"/>
                <w:rtl/>
              </w:rPr>
              <w:t>ف</w:t>
            </w:r>
            <w:r w:rsidR="00E35842">
              <w:rPr>
                <w:rFonts w:hint="cs"/>
                <w:color w:val="000000"/>
                <w:sz w:val="24"/>
                <w:szCs w:val="24"/>
                <w:rtl/>
              </w:rPr>
              <w:t xml:space="preserve"> دولار أميركي</w:t>
            </w:r>
            <w:r w:rsidR="00663B05">
              <w:rPr>
                <w:rFonts w:hint="cs"/>
                <w:color w:val="000000"/>
                <w:sz w:val="24"/>
                <w:szCs w:val="24"/>
                <w:rtl/>
              </w:rPr>
              <w:t xml:space="preserve"> لا غير</w:t>
            </w:r>
            <w:r w:rsidR="00E35842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="00220BD8">
              <w:rPr>
                <w:rFonts w:hint="cs"/>
                <w:color w:val="000000"/>
                <w:sz w:val="24"/>
                <w:szCs w:val="24"/>
                <w:rtl/>
              </w:rPr>
              <w:t xml:space="preserve"> نقداً.</w:t>
            </w:r>
          </w:p>
        </w:tc>
      </w:tr>
      <w:tr w:rsidR="00206B49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206B49" w:rsidRDefault="00E35887" w:rsidP="00220BD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88</w:t>
            </w:r>
            <w:r w:rsidR="00220BD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يوماً بعد آخر يوم من تاريخ تقديم العروض.</w:t>
            </w:r>
          </w:p>
        </w:tc>
      </w:tr>
    </w:tbl>
    <w:p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235FD" w:rsidRDefault="00057E7A" w:rsidP="00665D39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65D3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665D3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665D3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المنص</w:t>
            </w:r>
            <w:r w:rsidR="003D35EC" w:rsidRPr="00665D3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665D3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665D3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الشراء العام</w:t>
            </w:r>
            <w:r w:rsidRPr="00665D3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665D39"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  <w:r w:rsidR="00665D3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وعلى الموقع الالكتروني الرسمي لادارة واستثمار مرفأ بيروت  </w:t>
            </w:r>
            <w:hyperlink r:id="rId6" w:history="1">
              <w:r w:rsidR="00665D39" w:rsidRPr="00A52F24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www.portdebeirut.com</w:t>
              </w:r>
            </w:hyperlink>
            <w:r w:rsidR="00665D3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665D3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الديوان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665D3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216</w:t>
            </w:r>
            <w:r w:rsidR="00665D39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—</w:t>
            </w:r>
            <w:r w:rsidR="00665D3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580211/01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6FC" w:rsidRDefault="008F16FC">
      <w:pPr>
        <w:spacing w:line="240" w:lineRule="auto"/>
      </w:pPr>
      <w:r>
        <w:separator/>
      </w:r>
    </w:p>
  </w:endnote>
  <w:endnote w:type="continuationSeparator" w:id="0">
    <w:p w:rsidR="008F16FC" w:rsidRDefault="008F16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6FC" w:rsidRDefault="008F16FC">
      <w:pPr>
        <w:spacing w:line="240" w:lineRule="auto"/>
      </w:pPr>
      <w:r>
        <w:separator/>
      </w:r>
    </w:p>
  </w:footnote>
  <w:footnote w:type="continuationSeparator" w:id="0">
    <w:p w:rsidR="008F16FC" w:rsidRDefault="008F16F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3D05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3D05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235FD"/>
    <w:rsid w:val="00031078"/>
    <w:rsid w:val="00051B21"/>
    <w:rsid w:val="00056C3B"/>
    <w:rsid w:val="00057637"/>
    <w:rsid w:val="00057E7A"/>
    <w:rsid w:val="00086F73"/>
    <w:rsid w:val="000C00C1"/>
    <w:rsid w:val="000C323F"/>
    <w:rsid w:val="000C4968"/>
    <w:rsid w:val="000C4C75"/>
    <w:rsid w:val="000C7623"/>
    <w:rsid w:val="000F5BBC"/>
    <w:rsid w:val="001035F0"/>
    <w:rsid w:val="00113603"/>
    <w:rsid w:val="001176D5"/>
    <w:rsid w:val="00144612"/>
    <w:rsid w:val="001532FA"/>
    <w:rsid w:val="00176788"/>
    <w:rsid w:val="0018466D"/>
    <w:rsid w:val="00194643"/>
    <w:rsid w:val="001A4716"/>
    <w:rsid w:val="001B03BC"/>
    <w:rsid w:val="001D61CA"/>
    <w:rsid w:val="001F2AA7"/>
    <w:rsid w:val="00203B9F"/>
    <w:rsid w:val="00203E40"/>
    <w:rsid w:val="0020537F"/>
    <w:rsid w:val="00206B49"/>
    <w:rsid w:val="0021171F"/>
    <w:rsid w:val="00220BD8"/>
    <w:rsid w:val="00232E85"/>
    <w:rsid w:val="00241015"/>
    <w:rsid w:val="002548C7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1894"/>
    <w:rsid w:val="00312085"/>
    <w:rsid w:val="003716B1"/>
    <w:rsid w:val="00376DEB"/>
    <w:rsid w:val="003D0539"/>
    <w:rsid w:val="003D35EC"/>
    <w:rsid w:val="003E46E7"/>
    <w:rsid w:val="003E49E0"/>
    <w:rsid w:val="003E594F"/>
    <w:rsid w:val="00411389"/>
    <w:rsid w:val="00421177"/>
    <w:rsid w:val="00421691"/>
    <w:rsid w:val="00426B60"/>
    <w:rsid w:val="00484872"/>
    <w:rsid w:val="00493266"/>
    <w:rsid w:val="004A1335"/>
    <w:rsid w:val="004B062A"/>
    <w:rsid w:val="004B72DF"/>
    <w:rsid w:val="004C34D2"/>
    <w:rsid w:val="004F6185"/>
    <w:rsid w:val="00524E47"/>
    <w:rsid w:val="0053774B"/>
    <w:rsid w:val="00560775"/>
    <w:rsid w:val="00562FC3"/>
    <w:rsid w:val="005674FC"/>
    <w:rsid w:val="00576BC3"/>
    <w:rsid w:val="0059412C"/>
    <w:rsid w:val="005A0FD0"/>
    <w:rsid w:val="005A5719"/>
    <w:rsid w:val="005D1301"/>
    <w:rsid w:val="005F3F9E"/>
    <w:rsid w:val="00602315"/>
    <w:rsid w:val="00607625"/>
    <w:rsid w:val="006110B4"/>
    <w:rsid w:val="00614D21"/>
    <w:rsid w:val="00646963"/>
    <w:rsid w:val="00653824"/>
    <w:rsid w:val="00663B05"/>
    <w:rsid w:val="00665D39"/>
    <w:rsid w:val="00693D36"/>
    <w:rsid w:val="006B5B5A"/>
    <w:rsid w:val="006C7163"/>
    <w:rsid w:val="006D0A69"/>
    <w:rsid w:val="006F290B"/>
    <w:rsid w:val="00710D03"/>
    <w:rsid w:val="007524D1"/>
    <w:rsid w:val="0079090C"/>
    <w:rsid w:val="00795C6E"/>
    <w:rsid w:val="007B729C"/>
    <w:rsid w:val="007C1492"/>
    <w:rsid w:val="007E2C66"/>
    <w:rsid w:val="007F36D7"/>
    <w:rsid w:val="007F6601"/>
    <w:rsid w:val="00801F32"/>
    <w:rsid w:val="0081782A"/>
    <w:rsid w:val="00823E2E"/>
    <w:rsid w:val="008A6A41"/>
    <w:rsid w:val="008D3049"/>
    <w:rsid w:val="008D4688"/>
    <w:rsid w:val="008E70EB"/>
    <w:rsid w:val="008F16FC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7D15"/>
    <w:rsid w:val="009D4EF8"/>
    <w:rsid w:val="009D7222"/>
    <w:rsid w:val="00A049F7"/>
    <w:rsid w:val="00A172A5"/>
    <w:rsid w:val="00A23D1D"/>
    <w:rsid w:val="00A41F4D"/>
    <w:rsid w:val="00A859BE"/>
    <w:rsid w:val="00A94D5B"/>
    <w:rsid w:val="00A975FF"/>
    <w:rsid w:val="00AA2A6E"/>
    <w:rsid w:val="00AB4AB3"/>
    <w:rsid w:val="00AE0E36"/>
    <w:rsid w:val="00AF20DE"/>
    <w:rsid w:val="00B04050"/>
    <w:rsid w:val="00B1038E"/>
    <w:rsid w:val="00B10BA4"/>
    <w:rsid w:val="00B111F4"/>
    <w:rsid w:val="00B235FD"/>
    <w:rsid w:val="00B23D2D"/>
    <w:rsid w:val="00B3438A"/>
    <w:rsid w:val="00B519E9"/>
    <w:rsid w:val="00B775A2"/>
    <w:rsid w:val="00B813AA"/>
    <w:rsid w:val="00B8618A"/>
    <w:rsid w:val="00B907AE"/>
    <w:rsid w:val="00C04D5C"/>
    <w:rsid w:val="00C07FFD"/>
    <w:rsid w:val="00C171F3"/>
    <w:rsid w:val="00C23DB5"/>
    <w:rsid w:val="00C369B1"/>
    <w:rsid w:val="00C45470"/>
    <w:rsid w:val="00C6515C"/>
    <w:rsid w:val="00C73A4F"/>
    <w:rsid w:val="00C75ED9"/>
    <w:rsid w:val="00C83255"/>
    <w:rsid w:val="00C85061"/>
    <w:rsid w:val="00C86499"/>
    <w:rsid w:val="00C90C59"/>
    <w:rsid w:val="00CA2CD6"/>
    <w:rsid w:val="00CA4788"/>
    <w:rsid w:val="00CA7C6C"/>
    <w:rsid w:val="00CB7C89"/>
    <w:rsid w:val="00CC39DC"/>
    <w:rsid w:val="00CE5515"/>
    <w:rsid w:val="00CF4D51"/>
    <w:rsid w:val="00D15312"/>
    <w:rsid w:val="00D40723"/>
    <w:rsid w:val="00D7469C"/>
    <w:rsid w:val="00D77AA6"/>
    <w:rsid w:val="00D80161"/>
    <w:rsid w:val="00D839FE"/>
    <w:rsid w:val="00D95E4F"/>
    <w:rsid w:val="00E02AA9"/>
    <w:rsid w:val="00E30E9C"/>
    <w:rsid w:val="00E31F31"/>
    <w:rsid w:val="00E35842"/>
    <w:rsid w:val="00E35887"/>
    <w:rsid w:val="00E35D1F"/>
    <w:rsid w:val="00E36313"/>
    <w:rsid w:val="00E4646C"/>
    <w:rsid w:val="00E56044"/>
    <w:rsid w:val="00E60DD0"/>
    <w:rsid w:val="00E77F72"/>
    <w:rsid w:val="00E82119"/>
    <w:rsid w:val="00E93990"/>
    <w:rsid w:val="00EA580A"/>
    <w:rsid w:val="00EB30B4"/>
    <w:rsid w:val="00EC214E"/>
    <w:rsid w:val="00EE738A"/>
    <w:rsid w:val="00F04DAC"/>
    <w:rsid w:val="00F15605"/>
    <w:rsid w:val="00F311FB"/>
    <w:rsid w:val="00F42AAC"/>
    <w:rsid w:val="00F65409"/>
    <w:rsid w:val="00F72356"/>
    <w:rsid w:val="00F82397"/>
    <w:rsid w:val="00FA293B"/>
    <w:rsid w:val="00FA5F1C"/>
    <w:rsid w:val="00FB784F"/>
    <w:rsid w:val="00FC5AA9"/>
    <w:rsid w:val="00FD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1301"/>
  </w:style>
  <w:style w:type="paragraph" w:styleId="Heading1">
    <w:name w:val="heading 1"/>
    <w:basedOn w:val="Normal"/>
    <w:next w:val="Normal"/>
    <w:rsid w:val="005D13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D13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D13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D13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5D13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5D130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D130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D13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130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5D130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5D130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5D130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5D130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1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C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A94D5B"/>
    <w:pPr>
      <w:tabs>
        <w:tab w:val="left" w:pos="368"/>
      </w:tabs>
      <w:spacing w:line="240" w:lineRule="auto"/>
      <w:ind w:firstLine="0"/>
      <w:jc w:val="left"/>
    </w:pPr>
    <w:rPr>
      <w:szCs w:val="32"/>
    </w:rPr>
  </w:style>
  <w:style w:type="character" w:customStyle="1" w:styleId="BodyTextChar">
    <w:name w:val="Body Text Char"/>
    <w:basedOn w:val="DefaultParagraphFont"/>
    <w:link w:val="BodyText"/>
    <w:rsid w:val="00A94D5B"/>
    <w:rPr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debeirut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Port</cp:lastModifiedBy>
  <cp:revision>28</cp:revision>
  <cp:lastPrinted>2024-08-14T08:20:00Z</cp:lastPrinted>
  <dcterms:created xsi:type="dcterms:W3CDTF">2023-09-13T21:52:00Z</dcterms:created>
  <dcterms:modified xsi:type="dcterms:W3CDTF">2025-01-21T10:06:00Z</dcterms:modified>
</cp:coreProperties>
</file>