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B25CCC2"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العدل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9B6D3AB" w:rsidR="00B235FD" w:rsidRDefault="00F76B4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بيروت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المتحف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شارع سامي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B6A692B" w:rsidR="00B235FD" w:rsidRDefault="005D16E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212</w:t>
            </w:r>
            <w:r w:rsidR="00E7002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/هـ.ش.ع/2025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CA2BFB3" w:rsidR="00B235FD" w:rsidRDefault="0076770B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7A1F">
              <w:rPr>
                <w:rFonts w:asciiTheme="majorBidi" w:hAnsiTheme="majorBidi" w:cstheme="majorBidi" w:hint="cs"/>
                <w:rtl/>
              </w:rPr>
              <w:t xml:space="preserve">مناقصة عمومية لزوم تلزيم تأمين </w:t>
            </w:r>
            <w:r w:rsidR="003C067F">
              <w:rPr>
                <w:rFonts w:asciiTheme="majorBidi" w:hAnsiTheme="majorBidi" w:cstheme="majorBidi"/>
                <w:rtl/>
              </w:rPr>
              <w:t>مطبوعات</w:t>
            </w:r>
            <w:r w:rsidRPr="00887A1F">
              <w:rPr>
                <w:rFonts w:asciiTheme="majorBidi" w:hAnsiTheme="majorBidi" w:cstheme="majorBidi"/>
                <w:rtl/>
              </w:rPr>
              <w:t xml:space="preserve"> لزوم وزارة الـعـدل (المديرية العامة </w:t>
            </w:r>
            <w:r w:rsidRPr="00887A1F">
              <w:rPr>
                <w:rFonts w:asciiTheme="majorBidi" w:hAnsiTheme="majorBidi" w:cstheme="majorBidi"/>
                <w:rtl/>
                <w:lang w:bidi="ar-LB"/>
              </w:rPr>
              <w:t xml:space="preserve">و </w:t>
            </w:r>
            <w:r w:rsidRPr="00887A1F">
              <w:rPr>
                <w:rFonts w:asciiTheme="majorBidi" w:hAnsiTheme="majorBidi" w:cstheme="majorBidi"/>
                <w:rtl/>
              </w:rPr>
              <w:t>المحاكم )</w:t>
            </w:r>
            <w:r w:rsidRPr="00887A1F">
              <w:rPr>
                <w:rFonts w:asciiTheme="majorBidi" w:hAnsiTheme="majorBidi" w:cstheme="majorBidi" w:hint="cs"/>
                <w:rtl/>
              </w:rPr>
              <w:t xml:space="preserve"> على اساس كل مجموعة على حدة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BF0F719" w:rsidR="00B235FD" w:rsidRPr="008D3049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87A1F">
              <w:rPr>
                <w:rFonts w:asciiTheme="majorBidi" w:hAnsiTheme="majorBidi" w:cstheme="majorBidi" w:hint="cs"/>
                <w:rtl/>
              </w:rPr>
              <w:t xml:space="preserve">مناقصة عمومية لزوم تلزيم تأمين </w:t>
            </w:r>
            <w:r w:rsidR="003C067F">
              <w:rPr>
                <w:rFonts w:asciiTheme="majorBidi" w:hAnsiTheme="majorBidi" w:cstheme="majorBidi"/>
                <w:rtl/>
              </w:rPr>
              <w:t>مطبوعات</w:t>
            </w:r>
            <w:r w:rsidRPr="00887A1F">
              <w:rPr>
                <w:rFonts w:asciiTheme="majorBidi" w:hAnsiTheme="majorBidi" w:cstheme="majorBidi"/>
                <w:rtl/>
              </w:rPr>
              <w:t xml:space="preserve"> لزوم وزارة الـعـدل (المديرية العامة </w:t>
            </w:r>
            <w:r w:rsidRPr="00887A1F">
              <w:rPr>
                <w:rFonts w:asciiTheme="majorBidi" w:hAnsiTheme="majorBidi" w:cstheme="majorBidi"/>
                <w:rtl/>
                <w:lang w:bidi="ar-LB"/>
              </w:rPr>
              <w:t xml:space="preserve">و </w:t>
            </w:r>
            <w:r w:rsidRPr="00887A1F">
              <w:rPr>
                <w:rFonts w:asciiTheme="majorBidi" w:hAnsiTheme="majorBidi" w:cstheme="majorBidi"/>
                <w:rtl/>
              </w:rPr>
              <w:t>المحاكم )</w:t>
            </w:r>
            <w:r w:rsidRPr="00887A1F">
              <w:rPr>
                <w:rFonts w:asciiTheme="majorBidi" w:hAnsiTheme="majorBidi" w:cstheme="majorBidi" w:hint="cs"/>
                <w:rtl/>
              </w:rPr>
              <w:t xml:space="preserve"> على اساس كل مجموعة على حدة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1EB005" w:rsidR="00B235FD" w:rsidRDefault="007677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C6C7AB6" w:rsidR="00B235FD" w:rsidRDefault="004A2EE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/>
                <w:rtl/>
              </w:rPr>
              <w:t xml:space="preserve">مناقصة عمومية </w:t>
            </w:r>
            <w:r w:rsidR="0076770B" w:rsidRPr="00887A1F">
              <w:rPr>
                <w:rFonts w:asciiTheme="majorBidi" w:hAnsiTheme="majorBidi" w:cstheme="majorBidi" w:hint="cs"/>
                <w:rtl/>
              </w:rPr>
              <w:t>على اساس كل مجموعة على حدة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2335792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A01B10" w:rsidRPr="00365297">
              <w:rPr>
                <w:rFonts w:asciiTheme="majorBidi" w:hAnsiTheme="majorBidi" w:cstheme="majorBidi" w:hint="cs"/>
                <w:rtl/>
              </w:rPr>
              <w:t xml:space="preserve"> لكل </w:t>
            </w:r>
            <w:r w:rsidR="00D9688D">
              <w:rPr>
                <w:rFonts w:asciiTheme="majorBidi" w:hAnsiTheme="majorBidi" w:cstheme="majorBidi" w:hint="cs"/>
                <w:rtl/>
              </w:rPr>
              <w:t>مجموعة</w:t>
            </w:r>
            <w:r w:rsidR="00E45C3A">
              <w:rPr>
                <w:rFonts w:asciiTheme="majorBidi" w:hAnsiTheme="majorBidi" w:cstheme="majorBidi" w:hint="cs"/>
                <w:rtl/>
              </w:rPr>
              <w:t xml:space="preserve"> على حدة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0BD6ED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66A2240" w:rsidR="00A049F7" w:rsidRDefault="008D35D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معلنة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4E11F6C" w:rsidR="00B235FD" w:rsidRDefault="00AB36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70D6BE" w:rsidR="00B235FD" w:rsidRDefault="00AB365F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0043714" w:rsidR="00B235FD" w:rsidRDefault="00B71D0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تحدد المادة الثالثة والرابعة من ملف التلزيم </w:t>
            </w:r>
            <w:r w:rsidR="00CA7C6C"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3016561" w:rsidR="00120426" w:rsidRDefault="00BF5D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6B72CE"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297D9D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B842B2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A20E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E0B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A20E77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r w:rsidR="00297D9D">
              <w:rPr>
                <w:rFonts w:hint="cs"/>
                <w:color w:val="000000"/>
                <w:sz w:val="24"/>
                <w:szCs w:val="24"/>
                <w:rtl/>
              </w:rPr>
              <w:t xml:space="preserve">) عند الساعة </w:t>
            </w:r>
            <w:r w:rsidR="006B72CE">
              <w:rPr>
                <w:rFonts w:hint="cs"/>
                <w:color w:val="000000"/>
                <w:sz w:val="24"/>
                <w:szCs w:val="24"/>
                <w:rtl/>
              </w:rPr>
              <w:t>11.00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A9E216C" w:rsidR="00120426" w:rsidRDefault="00A20E7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45314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3CC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6B72CE">
              <w:rPr>
                <w:rFonts w:hint="cs"/>
                <w:color w:val="000000"/>
                <w:sz w:val="24"/>
                <w:szCs w:val="24"/>
                <w:rtl/>
              </w:rPr>
              <w:t xml:space="preserve">لاربعاء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 (</w:t>
            </w:r>
            <w:r w:rsidR="00B842B2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E0B2D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r w:rsidR="008256A7">
              <w:rPr>
                <w:rFonts w:hint="cs"/>
                <w:color w:val="000000"/>
                <w:sz w:val="24"/>
                <w:szCs w:val="24"/>
                <w:rtl/>
              </w:rPr>
              <w:t xml:space="preserve">) عند الساعة </w:t>
            </w:r>
            <w:r w:rsidR="006B72CE">
              <w:rPr>
                <w:rFonts w:hint="cs"/>
                <w:color w:val="000000"/>
                <w:sz w:val="24"/>
                <w:szCs w:val="24"/>
                <w:rtl/>
              </w:rPr>
              <w:t>10.30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ECF883A" w:rsidR="00120426" w:rsidRDefault="0010555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AE9A093" w:rsidR="00120426" w:rsidRDefault="00563C80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45314B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BD5FD4">
              <w:rPr>
                <w:rFonts w:hint="cs"/>
                <w:color w:val="000000"/>
                <w:sz w:val="24"/>
                <w:szCs w:val="24"/>
                <w:rtl/>
              </w:rPr>
              <w:t xml:space="preserve">لجمعة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 في (</w:t>
            </w:r>
            <w:r w:rsidR="00BD5FD4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902203">
              <w:rPr>
                <w:rFonts w:hint="cs"/>
                <w:color w:val="000000"/>
                <w:sz w:val="24"/>
                <w:szCs w:val="24"/>
                <w:rtl/>
              </w:rPr>
              <w:t>/5/2025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234968C" w:rsidR="00120426" w:rsidRDefault="00F2438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5B042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5A6F7B">
              <w:rPr>
                <w:rFonts w:hint="cs"/>
                <w:color w:val="000000"/>
                <w:sz w:val="24"/>
                <w:szCs w:val="24"/>
                <w:rtl/>
              </w:rPr>
              <w:t>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(</w:t>
            </w:r>
            <w:r w:rsidR="005A6F7B">
              <w:rPr>
                <w:rFonts w:hint="cs"/>
                <w:color w:val="000000"/>
                <w:sz w:val="24"/>
                <w:szCs w:val="24"/>
                <w:rtl/>
              </w:rPr>
              <w:t>3/6</w:t>
            </w:r>
            <w:r w:rsidR="002E2426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1F60589"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BB25164" w:rsidR="00120426" w:rsidRDefault="00C5374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9576CBD"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5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مصلحة الديوان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7F354C3" w:rsidR="00120426" w:rsidRDefault="009D71A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وزارة العدل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الادارة المركزية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ط 1 </w:t>
            </w:r>
            <w:r w:rsidRPr="002E5C11">
              <w:rPr>
                <w:rFonts w:asciiTheme="majorBidi" w:hAnsiTheme="majorBidi" w:cstheme="majorBidi"/>
                <w:rtl/>
              </w:rPr>
              <w:t>–</w:t>
            </w:r>
            <w:r w:rsidRPr="002E5C11">
              <w:rPr>
                <w:rFonts w:asciiTheme="majorBidi" w:hAnsiTheme="majorBidi" w:cstheme="majorBidi" w:hint="cs"/>
                <w:rtl/>
              </w:rPr>
              <w:t xml:space="preserve"> قاعة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393EB1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A1F4067" w:rsidR="00393EB1" w:rsidRDefault="00393EB1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>يُحدد</w:t>
            </w:r>
            <w:r w:rsidRPr="002E5C1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2E5C11">
              <w:rPr>
                <w:rFonts w:asciiTheme="majorBidi" w:hAnsiTheme="majorBidi" w:cstheme="majorBidi" w:hint="cs"/>
                <w:rtl/>
              </w:rPr>
              <w:t>ض</w:t>
            </w:r>
            <w:r w:rsidRPr="002E5C11">
              <w:rPr>
                <w:rFonts w:asciiTheme="majorBidi" w:hAnsiTheme="majorBidi" w:cstheme="majorBidi"/>
              </w:rPr>
              <w:t xml:space="preserve"> 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لكل </w:t>
            </w:r>
            <w:r w:rsidR="005516E7">
              <w:rPr>
                <w:rFonts w:asciiTheme="majorBidi" w:hAnsiTheme="majorBidi" w:cstheme="majorBidi" w:hint="cs"/>
                <w:rtl/>
                <w:lang w:bidi="ar-LB"/>
              </w:rPr>
              <w:t>مجموعة</w:t>
            </w:r>
            <w:r w:rsidRPr="002E5C11">
              <w:rPr>
                <w:rFonts w:asciiTheme="majorBidi" w:hAnsiTheme="majorBidi" w:cstheme="majorBidi" w:hint="cs"/>
                <w:rtl/>
                <w:lang w:bidi="ar-LB"/>
              </w:rPr>
              <w:t xml:space="preserve"> على حدة وفق اللائحة المرفقة</w:t>
            </w:r>
          </w:p>
        </w:tc>
      </w:tr>
      <w:tr w:rsidR="00393EB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393EB1" w:rsidRPr="000F5BBC" w:rsidRDefault="00393EB1" w:rsidP="00393EB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D00C24E" w:rsidR="00393EB1" w:rsidRDefault="00744E0E" w:rsidP="00393E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5C11">
              <w:rPr>
                <w:rFonts w:asciiTheme="majorBidi" w:hAnsiTheme="majorBidi" w:cstheme="majorBidi" w:hint="cs"/>
                <w:rtl/>
              </w:rPr>
              <w:t xml:space="preserve">58 يوم من تاريخ تقديم العرض </w:t>
            </w:r>
            <w:r w:rsidRPr="002E5C11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68849EA3" w14:textId="7F4B0781" w:rsidR="009B3D10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الديوان</w:t>
            </w:r>
            <w:r w:rsidR="00C64AF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لدى وزارة العدل</w:t>
            </w:r>
            <w:r w:rsidR="00744E0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</w:p>
          <w:p w14:paraId="31825C0F" w14:textId="03AE88F4" w:rsidR="00B235FD" w:rsidRDefault="00171CBA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612573/01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0140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B3D1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-  </w:t>
            </w:r>
            <w:r w:rsidR="0030140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0140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398369/01</w:t>
            </w:r>
          </w:p>
        </w:tc>
      </w:tr>
    </w:tbl>
    <w:p w14:paraId="6F427189" w14:textId="796B5228" w:rsidR="007E18FE" w:rsidRDefault="007E18FE" w:rsidP="00312085">
      <w:pPr>
        <w:spacing w:line="240" w:lineRule="auto"/>
        <w:ind w:firstLine="0"/>
        <w:jc w:val="both"/>
        <w:rPr>
          <w:rtl/>
        </w:rPr>
      </w:pPr>
    </w:p>
    <w:p w14:paraId="253BD1FD" w14:textId="77777777" w:rsidR="007E18FE" w:rsidRDefault="007E18FE">
      <w:pPr>
        <w:rPr>
          <w:rtl/>
        </w:rPr>
      </w:pPr>
      <w:r>
        <w:rPr>
          <w:rtl/>
        </w:rPr>
        <w:br w:type="page"/>
      </w:r>
    </w:p>
    <w:p w14:paraId="02F3A61D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lastRenderedPageBreak/>
        <w:t>الملحق رقم 7</w:t>
      </w:r>
    </w:p>
    <w:p w14:paraId="583859C9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بيان بالمحاكم المنفردة بالمحافظات </w:t>
      </w:r>
    </w:p>
    <w:p w14:paraId="04D95728" w14:textId="77777777" w:rsidR="007E18FE" w:rsidRPr="002574AB" w:rsidRDefault="007E18FE" w:rsidP="007E18FE">
      <w:pPr>
        <w:ind w:left="9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14:paraId="20F14990" w14:textId="2AE23C87" w:rsidR="007E18FE" w:rsidRPr="002574AB" w:rsidRDefault="00E30923" w:rsidP="00E30923">
      <w:pPr>
        <w:ind w:left="451" w:firstLine="629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اسم المحكمة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     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قيمة ضمان العرض ل.ل.</w:t>
      </w:r>
      <w:r w:rsidR="007E18FE" w:rsidRPr="002574A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</w:t>
      </w:r>
    </w:p>
    <w:p w14:paraId="639FDD58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الدامور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6FB767A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شحيم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7FCE34F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بعقلين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BA9485C" w14:textId="727E0BE0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دير القمر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849B23C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عاليه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E478634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جونيه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12000.000</w:t>
      </w:r>
    </w:p>
    <w:p w14:paraId="48F473FF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محكمة جبيل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12.000.000</w:t>
      </w:r>
    </w:p>
    <w:p w14:paraId="6512E842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قرطبا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1651806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بشري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E57752C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اميون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C36EE67" w14:textId="731BB524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سير الضنيه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264C1F5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دوما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E7193FF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البترون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64755C2" w14:textId="3CDB77AB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حلبا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9B1CF30" w14:textId="77777777" w:rsidR="007E18FE" w:rsidRPr="002574AB" w:rsidRDefault="007E18FE" w:rsidP="007E18FE">
      <w:pPr>
        <w:numPr>
          <w:ilvl w:val="0"/>
          <w:numId w:val="1"/>
        </w:numPr>
        <w:spacing w:line="360" w:lineRule="exact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القبيات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5664ADD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زغرتا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052E5BE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راشيا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27445B41" w14:textId="7ECF7BE2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جب جنين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46D8D0E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صغبين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9C90DA7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الهرمل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11DA905" w14:textId="337EBAFC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راس بعلبك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59E9E747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صور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7D5A6D0D" w14:textId="77777777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جزين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111678E5" w14:textId="6CFC5454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مرجعيون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</w:p>
    <w:p w14:paraId="2628B5B2" w14:textId="468485CC" w:rsidR="007E18FE" w:rsidRPr="002574AB" w:rsidRDefault="007E18FE" w:rsidP="007E18FE">
      <w:pPr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بنت جبيل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="00E30923"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02CF329A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حاصبيا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61D4F59E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تبنين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41DF86AB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جويا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373E178D" w14:textId="77777777" w:rsidR="007E18FE" w:rsidRPr="002574AB" w:rsidRDefault="007E18FE" w:rsidP="007E18FE">
      <w:pPr>
        <w:numPr>
          <w:ilvl w:val="0"/>
          <w:numId w:val="1"/>
        </w:numPr>
        <w:spacing w:line="380" w:lineRule="exact"/>
        <w:ind w:left="1434" w:hanging="357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>محكمة المنية</w:t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  <w:r w:rsidRPr="002574AB">
        <w:rPr>
          <w:rFonts w:ascii="Simplified Arabic" w:hAnsi="Simplified Arabic" w:cs="Simplified Arabic"/>
          <w:sz w:val="28"/>
          <w:szCs w:val="28"/>
          <w:rtl/>
          <w:lang w:bidi="ar-LB"/>
        </w:rPr>
        <w:tab/>
        <w:t>6000.000</w:t>
      </w:r>
    </w:p>
    <w:p w14:paraId="5A5B939B" w14:textId="13D42B2A" w:rsidR="002574AB" w:rsidRDefault="002574AB">
      <w:pPr>
        <w:rPr>
          <w:bCs/>
          <w:sz w:val="36"/>
          <w:szCs w:val="36"/>
          <w:rtl/>
        </w:rPr>
      </w:pPr>
      <w:r>
        <w:rPr>
          <w:b/>
          <w:bCs/>
          <w:rtl/>
        </w:rPr>
        <w:br w:type="page"/>
      </w:r>
    </w:p>
    <w:p w14:paraId="26AB9ED5" w14:textId="77777777" w:rsidR="002574AB" w:rsidRDefault="002574AB" w:rsidP="007E18FE">
      <w:pPr>
        <w:pStyle w:val="Heading2"/>
        <w:jc w:val="center"/>
        <w:rPr>
          <w:b w:val="0"/>
          <w:bCs/>
          <w:rtl/>
        </w:rPr>
      </w:pPr>
    </w:p>
    <w:p w14:paraId="641A565C" w14:textId="0E9935A4" w:rsidR="007E18FE" w:rsidRPr="002E5C11" w:rsidRDefault="007E18FE" w:rsidP="007E18FE">
      <w:pPr>
        <w:pStyle w:val="Heading2"/>
        <w:jc w:val="center"/>
        <w:rPr>
          <w:b w:val="0"/>
          <w:bCs/>
          <w:rtl/>
        </w:rPr>
      </w:pPr>
      <w:r w:rsidRPr="002E5C11">
        <w:rPr>
          <w:b w:val="0"/>
          <w:bCs/>
          <w:rtl/>
        </w:rPr>
        <w:t>اللائحـة المرفقـة</w:t>
      </w:r>
      <w:r w:rsidRPr="002E5C11">
        <w:rPr>
          <w:rFonts w:hint="cs"/>
          <w:b w:val="0"/>
          <w:bCs/>
          <w:rtl/>
        </w:rPr>
        <w:t xml:space="preserve"> يتبع الملحق رقم 7</w:t>
      </w:r>
    </w:p>
    <w:tbl>
      <w:tblPr>
        <w:bidiVisual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999"/>
        <w:gridCol w:w="3544"/>
      </w:tblGrid>
      <w:tr w:rsidR="007E18FE" w:rsidRPr="002E5C11" w14:paraId="56F85F3C" w14:textId="77777777" w:rsidTr="002F30DE">
        <w:tc>
          <w:tcPr>
            <w:tcW w:w="3544" w:type="dxa"/>
          </w:tcPr>
          <w:p w14:paraId="616FF4F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اسم المبنـى</w:t>
            </w:r>
          </w:p>
        </w:tc>
        <w:tc>
          <w:tcPr>
            <w:tcW w:w="2999" w:type="dxa"/>
          </w:tcPr>
          <w:p w14:paraId="1F159700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المساحـة التقريبيـة</w:t>
            </w:r>
          </w:p>
        </w:tc>
        <w:tc>
          <w:tcPr>
            <w:tcW w:w="3544" w:type="dxa"/>
          </w:tcPr>
          <w:p w14:paraId="1A4EAABA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 xml:space="preserve">قيمة </w:t>
            </w:r>
            <w:r w:rsidRPr="002E5C11">
              <w:rPr>
                <w:rFonts w:hint="cs"/>
                <w:rtl/>
              </w:rPr>
              <w:t>ضمان العرض</w:t>
            </w:r>
            <w:r w:rsidRPr="002E5C11">
              <w:rPr>
                <w:rtl/>
              </w:rPr>
              <w:t xml:space="preserve"> ل.ل.</w:t>
            </w:r>
          </w:p>
        </w:tc>
      </w:tr>
      <w:tr w:rsidR="007E18FE" w:rsidRPr="002E5C11" w14:paraId="10330C78" w14:textId="77777777" w:rsidTr="002F30DE">
        <w:trPr>
          <w:trHeight w:val="827"/>
        </w:trPr>
        <w:tc>
          <w:tcPr>
            <w:tcW w:w="3544" w:type="dxa"/>
          </w:tcPr>
          <w:p w14:paraId="116A6D72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tl/>
              </w:rPr>
              <w:t>مبنى الادارة المركزية لوزارة العدل</w:t>
            </w:r>
          </w:p>
        </w:tc>
        <w:tc>
          <w:tcPr>
            <w:tcW w:w="2999" w:type="dxa"/>
          </w:tcPr>
          <w:p w14:paraId="3AF5706D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3500</w:t>
            </w:r>
            <w:r w:rsidRPr="002E5C11">
              <w:rPr>
                <w:rtl/>
              </w:rPr>
              <w:t>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74E6E068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  <w:p w14:paraId="583BFBAD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35803564" w14:textId="77777777" w:rsidTr="002F30DE">
        <w:trPr>
          <w:trHeight w:val="620"/>
        </w:trPr>
        <w:tc>
          <w:tcPr>
            <w:tcW w:w="3544" w:type="dxa"/>
          </w:tcPr>
          <w:p w14:paraId="11720B4C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 xml:space="preserve">مبنى الجارودي </w:t>
            </w:r>
          </w:p>
        </w:tc>
        <w:tc>
          <w:tcPr>
            <w:tcW w:w="2999" w:type="dxa"/>
          </w:tcPr>
          <w:p w14:paraId="5F2822D2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Fonts w:hint="cs"/>
                <w:rtl/>
              </w:rPr>
              <w:t>1115 م2</w:t>
            </w:r>
          </w:p>
          <w:p w14:paraId="21CCC5AE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  <w:tc>
          <w:tcPr>
            <w:tcW w:w="3544" w:type="dxa"/>
          </w:tcPr>
          <w:p w14:paraId="47C8738F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2</w:t>
            </w:r>
            <w:r w:rsidRPr="002E5C11">
              <w:rPr>
                <w:rFonts w:hint="cs"/>
                <w:rtl/>
              </w:rPr>
              <w:t>.000.000</w:t>
            </w:r>
          </w:p>
          <w:p w14:paraId="70061C7F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31D6CD9C" w14:textId="77777777" w:rsidTr="002F30DE">
        <w:tc>
          <w:tcPr>
            <w:tcW w:w="3544" w:type="dxa"/>
          </w:tcPr>
          <w:p w14:paraId="128CFD8B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مبنى رزق الاشرفية</w:t>
            </w:r>
          </w:p>
        </w:tc>
        <w:tc>
          <w:tcPr>
            <w:tcW w:w="2999" w:type="dxa"/>
          </w:tcPr>
          <w:p w14:paraId="45E78A86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1600م2تقريباً</w:t>
            </w:r>
          </w:p>
        </w:tc>
        <w:tc>
          <w:tcPr>
            <w:tcW w:w="3544" w:type="dxa"/>
          </w:tcPr>
          <w:p w14:paraId="5EBA0607" w14:textId="77777777" w:rsidR="007E18FE" w:rsidRPr="002E5C11" w:rsidRDefault="007E18FE" w:rsidP="002F30DE">
            <w:pPr>
              <w:pStyle w:val="Header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  <w:p w14:paraId="21862219" w14:textId="77777777" w:rsidR="007E18FE" w:rsidRPr="002E5C11" w:rsidRDefault="007E18FE" w:rsidP="002F30DE">
            <w:pPr>
              <w:pStyle w:val="Header"/>
              <w:rPr>
                <w:rtl/>
              </w:rPr>
            </w:pPr>
          </w:p>
        </w:tc>
      </w:tr>
      <w:tr w:rsidR="007E18FE" w:rsidRPr="002E5C11" w14:paraId="5B2A9FC2" w14:textId="77777777" w:rsidTr="002F30DE">
        <w:tc>
          <w:tcPr>
            <w:tcW w:w="3544" w:type="dxa"/>
          </w:tcPr>
          <w:p w14:paraId="189A99D0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بيروت</w:t>
            </w:r>
          </w:p>
        </w:tc>
        <w:tc>
          <w:tcPr>
            <w:tcW w:w="2999" w:type="dxa"/>
          </w:tcPr>
          <w:p w14:paraId="7E0B869E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3</w:t>
            </w:r>
            <w:r w:rsidRPr="002E5C11">
              <w:rPr>
                <w:rFonts w:hint="cs"/>
                <w:rtl/>
              </w:rPr>
              <w:t>0</w:t>
            </w:r>
            <w:r w:rsidRPr="002E5C11">
              <w:rPr>
                <w:rtl/>
              </w:rPr>
              <w:t>000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1B38553C" w14:textId="77777777" w:rsidR="007E18FE" w:rsidRPr="002E5C11" w:rsidRDefault="007E18FE" w:rsidP="002F30DE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Pr="002E5C11">
              <w:rPr>
                <w:rFonts w:hint="cs"/>
                <w:rtl/>
              </w:rPr>
              <w:t>0.000.000</w:t>
            </w:r>
          </w:p>
        </w:tc>
      </w:tr>
      <w:tr w:rsidR="007E18FE" w:rsidRPr="002E5C11" w14:paraId="53C75244" w14:textId="77777777" w:rsidTr="002F30DE">
        <w:tc>
          <w:tcPr>
            <w:tcW w:w="3544" w:type="dxa"/>
          </w:tcPr>
          <w:p w14:paraId="0D3FC1D4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قصر العدل في بعبدا</w:t>
            </w:r>
            <w:r w:rsidRPr="002E5C11">
              <w:rPr>
                <w:rFonts w:hint="cs"/>
                <w:rtl/>
              </w:rPr>
              <w:t xml:space="preserve"> (مبنيان)</w:t>
            </w:r>
          </w:p>
        </w:tc>
        <w:tc>
          <w:tcPr>
            <w:tcW w:w="2999" w:type="dxa"/>
          </w:tcPr>
          <w:p w14:paraId="61FB8827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بين 4000 و5000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09A32B78" w14:textId="77777777" w:rsidR="007E18FE" w:rsidRPr="002E5C11" w:rsidRDefault="007E18FE" w:rsidP="002F30DE">
            <w:pPr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24E3660F" w14:textId="77777777" w:rsidTr="002F30DE">
        <w:tc>
          <w:tcPr>
            <w:tcW w:w="3544" w:type="dxa"/>
          </w:tcPr>
          <w:p w14:paraId="20ABD2F9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جديدة المتن</w:t>
            </w:r>
          </w:p>
        </w:tc>
        <w:tc>
          <w:tcPr>
            <w:tcW w:w="2999" w:type="dxa"/>
          </w:tcPr>
          <w:p w14:paraId="7AC94CE1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8000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17975D4F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6ED6526C" w14:textId="77777777" w:rsidTr="002F30DE">
        <w:trPr>
          <w:trHeight w:val="638"/>
        </w:trPr>
        <w:tc>
          <w:tcPr>
            <w:tcW w:w="3544" w:type="dxa"/>
          </w:tcPr>
          <w:p w14:paraId="42CF166E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طرابلس</w:t>
            </w:r>
          </w:p>
        </w:tc>
        <w:tc>
          <w:tcPr>
            <w:tcW w:w="2999" w:type="dxa"/>
          </w:tcPr>
          <w:p w14:paraId="1D9C50A8" w14:textId="77777777" w:rsidR="007E18FE" w:rsidRPr="002E5C11" w:rsidRDefault="007E18FE" w:rsidP="002F30DE">
            <w:pPr>
              <w:spacing w:line="480" w:lineRule="auto"/>
              <w:jc w:val="lowKashida"/>
              <w:rPr>
                <w:vertAlign w:val="superscript"/>
                <w:rtl/>
              </w:rPr>
            </w:pPr>
            <w:r w:rsidRPr="002E5C11">
              <w:rPr>
                <w:rFonts w:hint="cs"/>
                <w:rtl/>
              </w:rPr>
              <w:t>31360 م</w:t>
            </w:r>
            <w:r w:rsidRPr="002E5C11"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10CEF694" w14:textId="77777777" w:rsidR="007E18FE" w:rsidRPr="002E5C11" w:rsidRDefault="007E18FE" w:rsidP="002F30DE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24D41490" w14:textId="77777777" w:rsidTr="002F30DE">
        <w:tc>
          <w:tcPr>
            <w:tcW w:w="3544" w:type="dxa"/>
          </w:tcPr>
          <w:p w14:paraId="2F24DE17" w14:textId="77777777" w:rsidR="007E18FE" w:rsidRPr="002E5C11" w:rsidRDefault="007E18FE" w:rsidP="002F30DE">
            <w:pPr>
              <w:rPr>
                <w:rtl/>
              </w:rPr>
            </w:pPr>
            <w:r w:rsidRPr="002E5C11">
              <w:rPr>
                <w:rtl/>
              </w:rPr>
              <w:t>مبنى قصر العدل في زحله</w:t>
            </w:r>
          </w:p>
        </w:tc>
        <w:tc>
          <w:tcPr>
            <w:tcW w:w="2999" w:type="dxa"/>
          </w:tcPr>
          <w:p w14:paraId="3468DEB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بين 3000 و3500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3634DB76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56A72343" w14:textId="77777777" w:rsidTr="002F30DE">
        <w:tc>
          <w:tcPr>
            <w:tcW w:w="3544" w:type="dxa"/>
          </w:tcPr>
          <w:p w14:paraId="772591DB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 xml:space="preserve">مبنى قصر العدل في صيدا </w:t>
            </w:r>
          </w:p>
        </w:tc>
        <w:tc>
          <w:tcPr>
            <w:tcW w:w="2999" w:type="dxa"/>
          </w:tcPr>
          <w:p w14:paraId="77596B94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بين 3000 و3500 م</w:t>
            </w:r>
            <w:r w:rsidRPr="002E5C11">
              <w:rPr>
                <w:vertAlign w:val="superscript"/>
                <w:rtl/>
              </w:rPr>
              <w:t>2</w:t>
            </w:r>
          </w:p>
          <w:p w14:paraId="3C80F1B2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مع المبنى الحكومي</w:t>
            </w:r>
          </w:p>
        </w:tc>
        <w:tc>
          <w:tcPr>
            <w:tcW w:w="3544" w:type="dxa"/>
          </w:tcPr>
          <w:p w14:paraId="39C506EA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12B3D727" w14:textId="77777777" w:rsidTr="002F30DE">
        <w:tc>
          <w:tcPr>
            <w:tcW w:w="3544" w:type="dxa"/>
          </w:tcPr>
          <w:p w14:paraId="65009C8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مبنى قصر العدل في النبطية</w:t>
            </w:r>
          </w:p>
        </w:tc>
        <w:tc>
          <w:tcPr>
            <w:tcW w:w="2999" w:type="dxa"/>
          </w:tcPr>
          <w:p w14:paraId="6381C30E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2000 م</w:t>
            </w:r>
            <w:r w:rsidRPr="002E5C11">
              <w:rPr>
                <w:vertAlign w:val="superscript"/>
                <w:rtl/>
              </w:rPr>
              <w:t>2</w:t>
            </w:r>
          </w:p>
        </w:tc>
        <w:tc>
          <w:tcPr>
            <w:tcW w:w="3544" w:type="dxa"/>
          </w:tcPr>
          <w:p w14:paraId="0424CC07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0EFA42CC" w14:textId="77777777" w:rsidTr="002F30DE">
        <w:tc>
          <w:tcPr>
            <w:tcW w:w="3544" w:type="dxa"/>
          </w:tcPr>
          <w:p w14:paraId="1851A5E6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مبنى قصر العدل في بعلبك</w:t>
            </w:r>
          </w:p>
        </w:tc>
        <w:tc>
          <w:tcPr>
            <w:tcW w:w="2999" w:type="dxa"/>
          </w:tcPr>
          <w:p w14:paraId="0F561AE9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tl/>
              </w:rPr>
              <w:t>1500 م</w:t>
            </w:r>
            <w:r w:rsidRPr="002E5C11">
              <w:rPr>
                <w:vertAlign w:val="superscript"/>
                <w:rtl/>
              </w:rPr>
              <w:t>2</w:t>
            </w:r>
            <w:r w:rsidRPr="002E5C11">
              <w:rPr>
                <w:rtl/>
              </w:rPr>
              <w:t xml:space="preserve"> تقريباً</w:t>
            </w:r>
          </w:p>
        </w:tc>
        <w:tc>
          <w:tcPr>
            <w:tcW w:w="3544" w:type="dxa"/>
          </w:tcPr>
          <w:p w14:paraId="75531284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8</w:t>
            </w:r>
            <w:r w:rsidRPr="002E5C11">
              <w:rPr>
                <w:rFonts w:hint="cs"/>
                <w:rtl/>
              </w:rPr>
              <w:t>.000.000</w:t>
            </w:r>
          </w:p>
        </w:tc>
      </w:tr>
      <w:tr w:rsidR="007E18FE" w:rsidRPr="002E5C11" w14:paraId="628BA31D" w14:textId="77777777" w:rsidTr="002F30DE">
        <w:tc>
          <w:tcPr>
            <w:tcW w:w="3544" w:type="dxa"/>
          </w:tcPr>
          <w:p w14:paraId="31E154DE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المحاكم المنفردة في المناطق</w:t>
            </w:r>
          </w:p>
        </w:tc>
        <w:tc>
          <w:tcPr>
            <w:tcW w:w="2999" w:type="dxa"/>
          </w:tcPr>
          <w:p w14:paraId="2C818A70" w14:textId="77777777" w:rsidR="007E18FE" w:rsidRPr="002E5C11" w:rsidRDefault="007E18FE" w:rsidP="002F30DE">
            <w:pPr>
              <w:jc w:val="lowKashida"/>
              <w:rPr>
                <w:rtl/>
              </w:rPr>
            </w:pPr>
            <w:r w:rsidRPr="002E5C11">
              <w:rPr>
                <w:rFonts w:hint="cs"/>
                <w:rtl/>
              </w:rPr>
              <w:t>(تراجع اللائحة المرفقة)</w:t>
            </w:r>
          </w:p>
        </w:tc>
        <w:tc>
          <w:tcPr>
            <w:tcW w:w="3544" w:type="dxa"/>
          </w:tcPr>
          <w:p w14:paraId="00A8B09A" w14:textId="77777777" w:rsidR="007E18FE" w:rsidRPr="002E5C11" w:rsidRDefault="007E18FE" w:rsidP="002F30DE">
            <w:pPr>
              <w:jc w:val="lowKashida"/>
              <w:rPr>
                <w:rtl/>
              </w:rPr>
            </w:pPr>
          </w:p>
        </w:tc>
      </w:tr>
    </w:tbl>
    <w:p w14:paraId="21FD7EF5" w14:textId="77777777" w:rsidR="007E18FE" w:rsidRPr="002E5C11" w:rsidRDefault="007E18FE" w:rsidP="007E18FE">
      <w:pPr>
        <w:pStyle w:val="ListParagraph"/>
        <w:ind w:left="1440" w:firstLine="0"/>
        <w:jc w:val="lowKashida"/>
        <w:rPr>
          <w:sz w:val="18"/>
          <w:szCs w:val="20"/>
          <w:rtl/>
        </w:rPr>
      </w:pPr>
    </w:p>
    <w:p w14:paraId="14FC3FC5" w14:textId="77777777" w:rsidR="007E18FE" w:rsidRPr="002E5C11" w:rsidRDefault="007E18FE" w:rsidP="007E18FE">
      <w:pPr>
        <w:pStyle w:val="ListParagraph"/>
        <w:numPr>
          <w:ilvl w:val="0"/>
          <w:numId w:val="1"/>
        </w:numPr>
        <w:jc w:val="lowKashida"/>
        <w:rPr>
          <w:rtl/>
        </w:rPr>
      </w:pPr>
      <w:r w:rsidRPr="002E5C11">
        <w:rPr>
          <w:b/>
          <w:bCs/>
          <w:u w:val="single"/>
          <w:rtl/>
        </w:rPr>
        <w:t>ملاحظة :</w:t>
      </w:r>
      <w:r w:rsidRPr="002E5C11">
        <w:rPr>
          <w:rtl/>
        </w:rPr>
        <w:tab/>
        <w:t xml:space="preserve">ان المساحات المذكورة اعلاه هي مساحات تقريبية </w:t>
      </w:r>
      <w:r w:rsidRPr="002E5C11">
        <w:rPr>
          <w:rFonts w:hint="cs"/>
          <w:rtl/>
        </w:rPr>
        <w:t xml:space="preserve">وتتضمن الباحات الخارجية بما فيها الحدائق ومواقف السيارات التابعة للمباني المذكورة. </w:t>
      </w:r>
      <w:r w:rsidRPr="002E5C11">
        <w:rPr>
          <w:rtl/>
        </w:rPr>
        <w:t>وعلى المشارك في المناقصة اجراء الكشف الحسي على المباني المطلوب تلزيمها والتأكد بنفسه من المساحات المطلوب تنظيفها وماهية التنظيفات المطلوبة.</w:t>
      </w:r>
    </w:p>
    <w:p w14:paraId="2C2715F9" w14:textId="77777777" w:rsidR="007E18FE" w:rsidRPr="002E5C11" w:rsidRDefault="007E18FE" w:rsidP="007E18FE">
      <w:pPr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</w:p>
    <w:p w14:paraId="0E4B4A3A" w14:textId="77777777" w:rsidR="00B235FD" w:rsidRPr="007E18FE" w:rsidRDefault="00B235FD" w:rsidP="00312085">
      <w:pPr>
        <w:spacing w:line="240" w:lineRule="auto"/>
        <w:ind w:firstLine="0"/>
        <w:jc w:val="both"/>
      </w:pPr>
    </w:p>
    <w:sectPr w:rsidR="00B235FD" w:rsidRPr="007E18FE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B00B" w14:textId="77777777" w:rsidR="0084096E" w:rsidRDefault="0084096E">
      <w:pPr>
        <w:spacing w:line="240" w:lineRule="auto"/>
      </w:pPr>
      <w:r>
        <w:separator/>
      </w:r>
    </w:p>
  </w:endnote>
  <w:endnote w:type="continuationSeparator" w:id="0">
    <w:p w14:paraId="4C2A908A" w14:textId="77777777" w:rsidR="0084096E" w:rsidRDefault="00840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DDA5" w14:textId="77777777" w:rsidR="0084096E" w:rsidRDefault="0084096E">
      <w:pPr>
        <w:spacing w:line="240" w:lineRule="auto"/>
      </w:pPr>
      <w:r>
        <w:separator/>
      </w:r>
    </w:p>
  </w:footnote>
  <w:footnote w:type="continuationSeparator" w:id="0">
    <w:p w14:paraId="63E94A9D" w14:textId="77777777" w:rsidR="0084096E" w:rsidRDefault="008409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9B7E46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9B7E46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9B7E46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9B7E46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F11"/>
    <w:multiLevelType w:val="singleLevel"/>
    <w:tmpl w:val="82F098D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</w:abstractNum>
  <w:num w:numId="1" w16cid:durableId="18453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B1693"/>
    <w:rsid w:val="000C323F"/>
    <w:rsid w:val="000C4C75"/>
    <w:rsid w:val="000C5C79"/>
    <w:rsid w:val="000D1D16"/>
    <w:rsid w:val="000E7D11"/>
    <w:rsid w:val="000F5BBC"/>
    <w:rsid w:val="0010555C"/>
    <w:rsid w:val="001176D5"/>
    <w:rsid w:val="00120426"/>
    <w:rsid w:val="00145943"/>
    <w:rsid w:val="00155C35"/>
    <w:rsid w:val="00171CBA"/>
    <w:rsid w:val="00183CC8"/>
    <w:rsid w:val="0018466D"/>
    <w:rsid w:val="001B03BC"/>
    <w:rsid w:val="001B4F7E"/>
    <w:rsid w:val="001C546B"/>
    <w:rsid w:val="001D367E"/>
    <w:rsid w:val="0021171F"/>
    <w:rsid w:val="00216B53"/>
    <w:rsid w:val="00223934"/>
    <w:rsid w:val="002328D1"/>
    <w:rsid w:val="00232E85"/>
    <w:rsid w:val="00241015"/>
    <w:rsid w:val="002574AB"/>
    <w:rsid w:val="00257D4C"/>
    <w:rsid w:val="00261137"/>
    <w:rsid w:val="00262878"/>
    <w:rsid w:val="0029172A"/>
    <w:rsid w:val="00297452"/>
    <w:rsid w:val="00297D9D"/>
    <w:rsid w:val="002A5515"/>
    <w:rsid w:val="002B7048"/>
    <w:rsid w:val="002D3529"/>
    <w:rsid w:val="002E2426"/>
    <w:rsid w:val="002E4633"/>
    <w:rsid w:val="00301406"/>
    <w:rsid w:val="003071F1"/>
    <w:rsid w:val="00312085"/>
    <w:rsid w:val="00356898"/>
    <w:rsid w:val="00376DEB"/>
    <w:rsid w:val="00382FA7"/>
    <w:rsid w:val="00393EB1"/>
    <w:rsid w:val="00394738"/>
    <w:rsid w:val="003A116C"/>
    <w:rsid w:val="003C067F"/>
    <w:rsid w:val="003C6D54"/>
    <w:rsid w:val="003D35EC"/>
    <w:rsid w:val="003E6A30"/>
    <w:rsid w:val="00421691"/>
    <w:rsid w:val="004432AF"/>
    <w:rsid w:val="0045314B"/>
    <w:rsid w:val="00493266"/>
    <w:rsid w:val="004A1335"/>
    <w:rsid w:val="004A2EED"/>
    <w:rsid w:val="004A310D"/>
    <w:rsid w:val="004B062A"/>
    <w:rsid w:val="004C34D2"/>
    <w:rsid w:val="004E0B2D"/>
    <w:rsid w:val="0053774B"/>
    <w:rsid w:val="005516E7"/>
    <w:rsid w:val="00560775"/>
    <w:rsid w:val="00563C80"/>
    <w:rsid w:val="005A0FD0"/>
    <w:rsid w:val="005A6F7B"/>
    <w:rsid w:val="005B0428"/>
    <w:rsid w:val="005D16E6"/>
    <w:rsid w:val="005D5D3F"/>
    <w:rsid w:val="00600C24"/>
    <w:rsid w:val="00602315"/>
    <w:rsid w:val="00607625"/>
    <w:rsid w:val="00614D21"/>
    <w:rsid w:val="00646963"/>
    <w:rsid w:val="006803B9"/>
    <w:rsid w:val="0068607B"/>
    <w:rsid w:val="00693D36"/>
    <w:rsid w:val="006B72CE"/>
    <w:rsid w:val="006F625B"/>
    <w:rsid w:val="00710D03"/>
    <w:rsid w:val="00724191"/>
    <w:rsid w:val="00744E0E"/>
    <w:rsid w:val="00750585"/>
    <w:rsid w:val="00750C8B"/>
    <w:rsid w:val="007524D1"/>
    <w:rsid w:val="0076770B"/>
    <w:rsid w:val="00774BCF"/>
    <w:rsid w:val="0079090C"/>
    <w:rsid w:val="00795C6E"/>
    <w:rsid w:val="007B68B9"/>
    <w:rsid w:val="007E18FE"/>
    <w:rsid w:val="007E2C66"/>
    <w:rsid w:val="007F36D7"/>
    <w:rsid w:val="007F6601"/>
    <w:rsid w:val="00801DFC"/>
    <w:rsid w:val="00801F32"/>
    <w:rsid w:val="0081782A"/>
    <w:rsid w:val="00823E2E"/>
    <w:rsid w:val="008256A7"/>
    <w:rsid w:val="0084096E"/>
    <w:rsid w:val="00847FC2"/>
    <w:rsid w:val="008D3049"/>
    <w:rsid w:val="008D35D4"/>
    <w:rsid w:val="008E20ED"/>
    <w:rsid w:val="008E70EB"/>
    <w:rsid w:val="008F29AA"/>
    <w:rsid w:val="008F7D3E"/>
    <w:rsid w:val="0090220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B3D10"/>
    <w:rsid w:val="009B7E46"/>
    <w:rsid w:val="009C1033"/>
    <w:rsid w:val="009C3378"/>
    <w:rsid w:val="009D4EF8"/>
    <w:rsid w:val="009D71A5"/>
    <w:rsid w:val="00A01B10"/>
    <w:rsid w:val="00A049F7"/>
    <w:rsid w:val="00A16C78"/>
    <w:rsid w:val="00A20E77"/>
    <w:rsid w:val="00A23D1D"/>
    <w:rsid w:val="00A859BE"/>
    <w:rsid w:val="00A975FF"/>
    <w:rsid w:val="00AA2A6E"/>
    <w:rsid w:val="00AB365F"/>
    <w:rsid w:val="00AE0E36"/>
    <w:rsid w:val="00B111F4"/>
    <w:rsid w:val="00B235FD"/>
    <w:rsid w:val="00B5299F"/>
    <w:rsid w:val="00B71D0F"/>
    <w:rsid w:val="00B82C94"/>
    <w:rsid w:val="00B842B2"/>
    <w:rsid w:val="00B907AE"/>
    <w:rsid w:val="00BD5FD4"/>
    <w:rsid w:val="00BF5DAE"/>
    <w:rsid w:val="00C07FFD"/>
    <w:rsid w:val="00C23DB5"/>
    <w:rsid w:val="00C45470"/>
    <w:rsid w:val="00C477E0"/>
    <w:rsid w:val="00C53742"/>
    <w:rsid w:val="00C64AF5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6ECE"/>
    <w:rsid w:val="00D12C75"/>
    <w:rsid w:val="00D15312"/>
    <w:rsid w:val="00D40723"/>
    <w:rsid w:val="00D65380"/>
    <w:rsid w:val="00D7469C"/>
    <w:rsid w:val="00D77AA6"/>
    <w:rsid w:val="00D9688D"/>
    <w:rsid w:val="00E002D9"/>
    <w:rsid w:val="00E159D0"/>
    <w:rsid w:val="00E25533"/>
    <w:rsid w:val="00E30923"/>
    <w:rsid w:val="00E30E9C"/>
    <w:rsid w:val="00E35D1F"/>
    <w:rsid w:val="00E36313"/>
    <w:rsid w:val="00E45C3A"/>
    <w:rsid w:val="00E56044"/>
    <w:rsid w:val="00E60DD0"/>
    <w:rsid w:val="00E70026"/>
    <w:rsid w:val="00E91E3B"/>
    <w:rsid w:val="00E92CB6"/>
    <w:rsid w:val="00EA5FC6"/>
    <w:rsid w:val="00EB3113"/>
    <w:rsid w:val="00EC0744"/>
    <w:rsid w:val="00EC5F24"/>
    <w:rsid w:val="00EE738A"/>
    <w:rsid w:val="00F04DAC"/>
    <w:rsid w:val="00F2438D"/>
    <w:rsid w:val="00F65409"/>
    <w:rsid w:val="00F76B45"/>
    <w:rsid w:val="00F82397"/>
    <w:rsid w:val="00FA02DB"/>
    <w:rsid w:val="00FA293B"/>
    <w:rsid w:val="00FA3699"/>
    <w:rsid w:val="00FB59D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Header">
    <w:name w:val="header"/>
    <w:basedOn w:val="Normal"/>
    <w:link w:val="HeaderChar"/>
    <w:uiPriority w:val="99"/>
    <w:unhideWhenUsed/>
    <w:rsid w:val="007E18FE"/>
    <w:pPr>
      <w:tabs>
        <w:tab w:val="center" w:pos="4680"/>
        <w:tab w:val="right" w:pos="9360"/>
      </w:tabs>
      <w:spacing w:line="240" w:lineRule="auto"/>
      <w:ind w:firstLine="0"/>
      <w:jc w:val="both"/>
    </w:pPr>
    <w:rPr>
      <w:rFonts w:ascii="Simplified Arabic" w:eastAsia="Simplified Arabic" w:hAnsi="Simplified Arabic" w:cs="Simplified Arabic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E18FE"/>
    <w:rPr>
      <w:rFonts w:ascii="Simplified Arabic" w:eastAsia="Simplified Arabic" w:hAnsi="Simplified Arabic" w:cs="Simplified Arabic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E18FE"/>
    <w:pPr>
      <w:spacing w:after="200" w:line="276" w:lineRule="auto"/>
      <w:ind w:left="720" w:firstLine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E18F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Saydeh Deaybes</cp:lastModifiedBy>
  <cp:revision>63</cp:revision>
  <cp:lastPrinted>2025-05-14T07:15:00Z</cp:lastPrinted>
  <dcterms:created xsi:type="dcterms:W3CDTF">2024-05-28T10:43:00Z</dcterms:created>
  <dcterms:modified xsi:type="dcterms:W3CDTF">2025-05-19T10:43:00Z</dcterms:modified>
</cp:coreProperties>
</file>