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5FD" w:rsidRPr="00207183" w:rsidRDefault="00CA7C6C" w:rsidP="006828F5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07183">
        <w:rPr>
          <w:b/>
          <w:bCs/>
          <w:sz w:val="28"/>
          <w:szCs w:val="28"/>
          <w:rtl/>
        </w:rPr>
        <w:t>دعوة للإعلان عن مزايدة عمومية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177"/>
        <w:gridCol w:w="9001"/>
      </w:tblGrid>
      <w:tr w:rsidR="00B235FD" w:rsidTr="00207183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8227B6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بلدية كفرحيم</w:t>
            </w:r>
          </w:p>
        </w:tc>
      </w:tr>
      <w:tr w:rsidR="00B235FD" w:rsidTr="00207183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8227B6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كفرحيم الشوف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/>
      </w:tblPr>
      <w:tblGrid>
        <w:gridCol w:w="2250"/>
        <w:gridCol w:w="8913"/>
      </w:tblGrid>
      <w:tr w:rsidR="00B235FD" w:rsidTr="00207183">
        <w:trPr>
          <w:trHeight w:val="386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8227B6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قرار مجلسي رقم</w:t>
            </w:r>
            <w:r w:rsidR="00AF468E">
              <w:rPr>
                <w:rFonts w:hint="cs"/>
                <w:color w:val="000000"/>
                <w:sz w:val="24"/>
                <w:szCs w:val="24"/>
                <w:rtl/>
              </w:rPr>
              <w:t xml:space="preserve"> 10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عدد 190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8227B6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تلزيم كروز الصنوبر المثمر لموسم 2023ـ2024</w:t>
            </w:r>
          </w:p>
        </w:tc>
      </w:tr>
      <w:tr w:rsidR="00B235FD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8D3049" w:rsidRDefault="008227B6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ثمار الصنوبر لموسم 2023ـ2024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8227B6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ثمار الصنوبر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6828F5" w:rsidP="008227B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مزايدة عمومية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 xml:space="preserve"> 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8227B6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الأعلى</w:t>
            </w:r>
            <w:r w:rsidR="008227B6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A049F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A049F7" w:rsidRDefault="008227B6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ـ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(تحديد قيمة البدل والعملة)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B235FD" w:rsidRDefault="00CA7C6C" w:rsidP="008227B6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ان </w:t>
            </w:r>
            <w:r>
              <w:rPr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متوفر </w:t>
            </w:r>
            <w:r w:rsidR="008227B6">
              <w:rPr>
                <w:rFonts w:hint="cs"/>
                <w:color w:val="000000"/>
                <w:sz w:val="24"/>
                <w:szCs w:val="24"/>
                <w:rtl/>
              </w:rPr>
              <w:t>باللغة العربية فقط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235FD" w:rsidRDefault="00CA7C6C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يحدد الفصل/الفصول من ملف التلزيم (تعيين الفصل/الفصول) المعايير والإجراءات التي تستخدم للتأكد من مؤهلات العارضين، ولأيّ أدلة مستندية أو معلومات أخرى يجب على العارضين أن يقدّموها لإثبات مؤهلاتهم وكذلك طريقة تقييم العروض.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420"/>
        <w:gridCol w:w="7765"/>
      </w:tblGrid>
      <w:tr w:rsidR="003D672E" w:rsidRPr="000F5BBC" w:rsidTr="003D672E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9339D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اليوم الخميس الموافق في 15 شباط 2024</w:t>
            </w:r>
          </w:p>
          <w:p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 xml:space="preserve">*تحدد وفقًا لأهمية المشروع على أن لا تقل عن /21/ يوم من </w:t>
            </w:r>
            <w:r w:rsidR="00AA31D6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تاريخ نشر الإعلان.</w:t>
            </w:r>
          </w:p>
          <w:p w:rsidR="00F5585D" w:rsidRDefault="00F5585D" w:rsidP="00F5585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  <w:sz w:val="24"/>
                <w:szCs w:val="24"/>
                <w:lang w:bidi="ar-LB"/>
              </w:rPr>
              <w:t>*</w:t>
            </w:r>
            <w:r w:rsidRPr="009672A0">
              <w:rPr>
                <w:color w:val="000000"/>
                <w:sz w:val="24"/>
                <w:szCs w:val="24"/>
                <w:rtl/>
                <w:lang w:bidi="ar-LB"/>
              </w:rPr>
              <w:t>لا يَدخُل يوم نشر الإعلان في احتساب الـمهلة</w:t>
            </w: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.</w:t>
            </w:r>
          </w:p>
          <w:p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*فورًا عند انتهاء موعد تقديم العروض.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(اليوم/الشهر/السنة) على الساعة (تحديد الساعة)</w:t>
            </w:r>
          </w:p>
          <w:p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*بذات اليوم المُحدد لفتح العروض</w:t>
            </w:r>
          </w:p>
        </w:tc>
      </w:tr>
      <w:tr w:rsidR="003D672E" w:rsidTr="003D672E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394738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AF468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ـــ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9339D4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يوم الجلسة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9339D4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ـ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(</w:t>
            </w:r>
            <w:r>
              <w:rPr>
                <w:color w:val="000000"/>
                <w:sz w:val="24"/>
                <w:szCs w:val="24"/>
                <w:rtl/>
              </w:rPr>
              <w:t>تحديد المدة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)</w:t>
            </w:r>
          </w:p>
          <w:p w:rsidR="003D672E" w:rsidRDefault="003D672E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*متناسبة مع طبيعة المشروع على أن لا تقل عن 30 يومًا من التاريخ النهائي لتقديم العروض</w:t>
            </w:r>
          </w:p>
        </w:tc>
      </w:tr>
      <w:tr w:rsidR="003D672E" w:rsidTr="003D672E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9339D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بلدية كفرحيم 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3D672E" w:rsidRDefault="003D672E" w:rsidP="00AF468E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مقر </w:t>
            </w:r>
            <w:r w:rsidR="00AF468E">
              <w:rPr>
                <w:rFonts w:hint="cs"/>
                <w:color w:val="000000"/>
                <w:rtl/>
              </w:rPr>
              <w:t>بلدية كفرحيم الشوف</w:t>
            </w:r>
          </w:p>
        </w:tc>
      </w:tr>
      <w:tr w:rsidR="003D672E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3D672E" w:rsidRPr="000F5BBC" w:rsidRDefault="003D672E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3D672E" w:rsidRDefault="009339D4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بلدية كفرحيم</w:t>
            </w:r>
          </w:p>
        </w:tc>
      </w:tr>
    </w:tbl>
    <w:p w:rsidR="00B235FD" w:rsidRPr="003D672E" w:rsidRDefault="00B235FD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B235FD" w:rsidTr="00207183">
        <w:trPr>
          <w:trHeight w:val="359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9339D4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يحدد من قبل اللجنة في حينه</w:t>
            </w:r>
          </w:p>
        </w:tc>
      </w:tr>
      <w:tr w:rsidR="00B235FD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B235FD" w:rsidRDefault="00CA7C6C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تحديد مدة صلاحية ضمان العرض (يجب ان تكون على الاقل بزيادة 28 يوما عن مدة صلاحية العرض)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40"/>
        <w:gridCol w:w="8838"/>
      </w:tblGrid>
      <w:tr w:rsidR="00E30E9C" w:rsidTr="003D672E">
        <w:trPr>
          <w:trHeight w:val="77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E30E9C" w:rsidRPr="000F5BBC" w:rsidRDefault="00284E78" w:rsidP="00284E78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Cs/>
                <w:color w:val="000000"/>
                <w:sz w:val="24"/>
                <w:szCs w:val="24"/>
                <w:rtl/>
                <w:lang w:bidi="ar-LB"/>
              </w:rPr>
              <w:t>سعر الإفتتاح</w:t>
            </w:r>
          </w:p>
        </w:tc>
      </w:tr>
      <w:tr w:rsidR="00E30E9C" w:rsidTr="00207183">
        <w:trPr>
          <w:trHeight w:val="404"/>
          <w:jc w:val="right"/>
        </w:trPr>
        <w:tc>
          <w:tcPr>
            <w:tcW w:w="2340" w:type="dxa"/>
            <w:tcBorders>
              <w:right w:val="single" w:sz="4" w:space="0" w:color="000000"/>
            </w:tcBorders>
            <w:vAlign w:val="center"/>
          </w:tcPr>
          <w:p w:rsidR="00E30E9C" w:rsidRPr="000F5BBC" w:rsidRDefault="00E30E9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قيمة سعر الإفتتاح</w:t>
            </w:r>
          </w:p>
        </w:tc>
        <w:tc>
          <w:tcPr>
            <w:tcW w:w="8838" w:type="dxa"/>
            <w:tcBorders>
              <w:left w:val="single" w:sz="4" w:space="0" w:color="000000"/>
            </w:tcBorders>
            <w:vAlign w:val="center"/>
          </w:tcPr>
          <w:p w:rsidR="00E30E9C" w:rsidRDefault="009339D4" w:rsidP="00297452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يحدد في حينه من قبل اللجنة </w:t>
            </w:r>
            <w:r w:rsidR="00E30E9C">
              <w:rPr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:rsidR="00E30E9C" w:rsidRDefault="00E30E9C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/>
      </w:tblPr>
      <w:tblGrid>
        <w:gridCol w:w="11178"/>
      </w:tblGrid>
      <w:tr w:rsidR="00B235FD" w:rsidTr="003D672E">
        <w:trPr>
          <w:trHeight w:val="152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207183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207183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207183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FA293B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ولمزيد من المعلومات يمكنكم في أي وقت مراجعة وحدة الشراء العام في الجهة الشارية عبر التواصل مع _________ على الرقم التالي ______________ أو عبر البريد الإلكتروني _____________________.</w:t>
            </w:r>
          </w:p>
        </w:tc>
      </w:tr>
    </w:tbl>
    <w:p w:rsidR="00B235FD" w:rsidRDefault="00B235FD" w:rsidP="00312085">
      <w:pPr>
        <w:spacing w:line="240" w:lineRule="auto"/>
        <w:ind w:firstLine="0"/>
        <w:jc w:val="both"/>
      </w:pPr>
      <w:bookmarkStart w:id="0" w:name="_GoBack"/>
      <w:bookmarkEnd w:id="0"/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4F6" w:rsidRDefault="00BE34F6">
      <w:pPr>
        <w:spacing w:line="240" w:lineRule="auto"/>
      </w:pPr>
      <w:r>
        <w:separator/>
      </w:r>
    </w:p>
  </w:endnote>
  <w:endnote w:type="continuationSeparator" w:id="1">
    <w:p w:rsidR="00BE34F6" w:rsidRDefault="00BE34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Pr="00CF00FF" w:rsidRDefault="00CF00FF" w:rsidP="00CF00FF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4F6" w:rsidRDefault="00BE34F6">
      <w:pPr>
        <w:spacing w:line="240" w:lineRule="auto"/>
      </w:pPr>
      <w:r>
        <w:separator/>
      </w:r>
    </w:p>
  </w:footnote>
  <w:footnote w:type="continuationSeparator" w:id="1">
    <w:p w:rsidR="00BE34F6" w:rsidRDefault="00BE34F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8120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0;margin-top:0;width:706.95pt;height:52.35pt;rotation:-45;z-index:-251656192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8120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799.45pt;height:52.35pt;rotation:-45;z-index:-251659264;visibility:visible;mso-wrap-distance-left:0;mso-wrap-distance-right:0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<o:lock v:ext="edit" shapetype="t"/>
          <v:textbox style="mso-fit-shape-to-text:t">
            <w:txbxContent>
              <w:p w:rsidR="005006E7" w:rsidRDefault="00CA7C6C" w:rsidP="005006E7">
                <w:pPr>
                  <w:bidi w:val="0"/>
                  <w:ind w:left="-2" w:firstLine="0"/>
                  <w:jc w:val="center"/>
                  <w:rPr>
                    <w:color w:val="C0C0C0"/>
                    <w:sz w:val="2"/>
                    <w:szCs w:val="2"/>
                  </w:rPr>
                </w:pPr>
                <w:r>
                  <w:rPr>
                    <w:color w:val="C0C0C0"/>
                    <w:sz w:val="2"/>
                    <w:szCs w:val="2"/>
                  </w:rPr>
                  <w:t>Draft -   Work in progress</w:t>
                </w:r>
              </w:p>
            </w:txbxContent>
          </v:textbox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B235FD"/>
    <w:rsid w:val="00051B21"/>
    <w:rsid w:val="00057E7A"/>
    <w:rsid w:val="000C323F"/>
    <w:rsid w:val="000C4C75"/>
    <w:rsid w:val="000F5BBC"/>
    <w:rsid w:val="001176D5"/>
    <w:rsid w:val="0018466D"/>
    <w:rsid w:val="001B03BC"/>
    <w:rsid w:val="00207183"/>
    <w:rsid w:val="0021171F"/>
    <w:rsid w:val="00214337"/>
    <w:rsid w:val="00232E85"/>
    <w:rsid w:val="00241015"/>
    <w:rsid w:val="00246865"/>
    <w:rsid w:val="00257D4C"/>
    <w:rsid w:val="00284E78"/>
    <w:rsid w:val="00297452"/>
    <w:rsid w:val="002B7048"/>
    <w:rsid w:val="002E4633"/>
    <w:rsid w:val="002F0394"/>
    <w:rsid w:val="00312085"/>
    <w:rsid w:val="00376DEB"/>
    <w:rsid w:val="003977E4"/>
    <w:rsid w:val="003D35EC"/>
    <w:rsid w:val="003D672E"/>
    <w:rsid w:val="00421691"/>
    <w:rsid w:val="00493266"/>
    <w:rsid w:val="004A1335"/>
    <w:rsid w:val="004B062A"/>
    <w:rsid w:val="004C34D2"/>
    <w:rsid w:val="0053774B"/>
    <w:rsid w:val="00560775"/>
    <w:rsid w:val="005A0FD0"/>
    <w:rsid w:val="00602315"/>
    <w:rsid w:val="00607625"/>
    <w:rsid w:val="00614D21"/>
    <w:rsid w:val="00646963"/>
    <w:rsid w:val="00666294"/>
    <w:rsid w:val="006828F5"/>
    <w:rsid w:val="00693D36"/>
    <w:rsid w:val="00710D03"/>
    <w:rsid w:val="007524D1"/>
    <w:rsid w:val="0079090C"/>
    <w:rsid w:val="00795C6E"/>
    <w:rsid w:val="007E2C66"/>
    <w:rsid w:val="007F36D7"/>
    <w:rsid w:val="007F6601"/>
    <w:rsid w:val="00801F32"/>
    <w:rsid w:val="0081203D"/>
    <w:rsid w:val="0081782A"/>
    <w:rsid w:val="008227B6"/>
    <w:rsid w:val="00823E2E"/>
    <w:rsid w:val="008D3049"/>
    <w:rsid w:val="008D63D5"/>
    <w:rsid w:val="008E70EB"/>
    <w:rsid w:val="0091237C"/>
    <w:rsid w:val="0092753D"/>
    <w:rsid w:val="009339D4"/>
    <w:rsid w:val="0093626B"/>
    <w:rsid w:val="00940B28"/>
    <w:rsid w:val="00950B49"/>
    <w:rsid w:val="009552E8"/>
    <w:rsid w:val="00967D45"/>
    <w:rsid w:val="00977899"/>
    <w:rsid w:val="00985382"/>
    <w:rsid w:val="009D4EF8"/>
    <w:rsid w:val="00A025E7"/>
    <w:rsid w:val="00A049F7"/>
    <w:rsid w:val="00A23D1D"/>
    <w:rsid w:val="00A859BE"/>
    <w:rsid w:val="00A975FF"/>
    <w:rsid w:val="00AA2A6E"/>
    <w:rsid w:val="00AA31D6"/>
    <w:rsid w:val="00AE0E36"/>
    <w:rsid w:val="00AF468E"/>
    <w:rsid w:val="00B111F4"/>
    <w:rsid w:val="00B235FD"/>
    <w:rsid w:val="00B61AA6"/>
    <w:rsid w:val="00B907AE"/>
    <w:rsid w:val="00BE34F6"/>
    <w:rsid w:val="00C07FFD"/>
    <w:rsid w:val="00C10CD9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00FF"/>
    <w:rsid w:val="00CF3F52"/>
    <w:rsid w:val="00CF4D51"/>
    <w:rsid w:val="00D15312"/>
    <w:rsid w:val="00D40723"/>
    <w:rsid w:val="00D7469C"/>
    <w:rsid w:val="00D77AA6"/>
    <w:rsid w:val="00E30E9C"/>
    <w:rsid w:val="00E35D1F"/>
    <w:rsid w:val="00E36313"/>
    <w:rsid w:val="00E56044"/>
    <w:rsid w:val="00E60DD0"/>
    <w:rsid w:val="00EE738A"/>
    <w:rsid w:val="00F04DAC"/>
    <w:rsid w:val="00F5585D"/>
    <w:rsid w:val="00F65409"/>
    <w:rsid w:val="00F82397"/>
    <w:rsid w:val="00FA293B"/>
    <w:rsid w:val="00FC3A61"/>
    <w:rsid w:val="00FC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10CD9"/>
  </w:style>
  <w:style w:type="paragraph" w:styleId="Heading1">
    <w:name w:val="heading 1"/>
    <w:basedOn w:val="Normal"/>
    <w:next w:val="Normal"/>
    <w:rsid w:val="00C10CD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C10CD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C10CD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C10CD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C10CD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C10CD9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C10CD9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C10CD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C10CD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C10CD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C10CD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C10CD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C10CD9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CF00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0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2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XP</cp:lastModifiedBy>
  <cp:revision>90</cp:revision>
  <cp:lastPrinted>2022-08-29T09:45:00Z</cp:lastPrinted>
  <dcterms:created xsi:type="dcterms:W3CDTF">2022-08-25T08:33:00Z</dcterms:created>
  <dcterms:modified xsi:type="dcterms:W3CDTF">2024-01-25T09:40:00Z</dcterms:modified>
</cp:coreProperties>
</file>