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rFonts w:hint="cs"/>
          <w:b/>
          <w:bCs/>
          <w:sz w:val="28"/>
          <w:szCs w:val="28"/>
          <w:rtl/>
          <w:lang w:bidi="ar-LB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6E2CBE" w14:paraId="7C4E6337" w14:textId="77777777" w:rsidTr="00541943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6E2CBE" w:rsidRPr="000F5BBC" w:rsidRDefault="006E2CBE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14:paraId="24AF8357" w14:textId="59F7A2AD" w:rsidR="006E2CBE" w:rsidRDefault="006E2CB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214CE">
              <w:rPr>
                <w:rtl/>
              </w:rPr>
              <w:t>وزارة الزراعة – المديرية العامة للزراعة</w:t>
            </w:r>
          </w:p>
        </w:tc>
      </w:tr>
      <w:tr w:rsidR="006E2CBE" w14:paraId="175F6D47" w14:textId="77777777" w:rsidTr="00541943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6E2CBE" w:rsidRPr="000F5BBC" w:rsidRDefault="006E2CBE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14:paraId="6F1518A5" w14:textId="0C28ABC8" w:rsidR="006E2CBE" w:rsidRDefault="006E2CB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214CE">
              <w:rPr>
                <w:rtl/>
              </w:rPr>
              <w:t>بئر حسن مقابل ثكنة هنري شهاب مبنى وزارة الزراعة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1DAC5AD" w:rsidR="00B235FD" w:rsidRDefault="006E2CB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3634/3 تاريخ 9/11/2023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69B03D0B" w:rsidR="00B235FD" w:rsidRDefault="006E2CBE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طلب عروض الأسعار العائد لتلزيم </w:t>
            </w:r>
            <w:r w:rsidRPr="001D481B">
              <w:rPr>
                <w:rFonts w:ascii="Arial" w:hAnsi="Arial" w:cs="Arial"/>
                <w:rtl/>
                <w:lang w:bidi="ar-LB"/>
              </w:rPr>
              <w:t xml:space="preserve">تقديم </w:t>
            </w:r>
            <w:r w:rsidRPr="001D481B">
              <w:rPr>
                <w:rFonts w:ascii="Arial" w:hAnsi="Arial" w:cs="Arial"/>
                <w:rtl/>
              </w:rPr>
              <w:t xml:space="preserve"> محروقات سائلة  من مادة البنزين والمازوت</w:t>
            </w:r>
            <w:r w:rsidRPr="001D481B">
              <w:rPr>
                <w:rFonts w:ascii="Arial" w:hAnsi="Arial" w:cs="Arial"/>
                <w:rtl/>
                <w:lang w:bidi="ar-LB"/>
              </w:rPr>
              <w:t xml:space="preserve"> الأخضر</w:t>
            </w:r>
            <w:r>
              <w:rPr>
                <w:rFonts w:ascii="Arial" w:hAnsi="Arial" w:cs="Arial"/>
                <w:rtl/>
              </w:rPr>
              <w:t xml:space="preserve"> للسيارات والآليات،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FF80FA" w14:textId="77777777" w:rsidR="006E2CBE" w:rsidRPr="00087357" w:rsidRDefault="006E2CBE" w:rsidP="006E2CBE">
            <w:pPr>
              <w:spacing w:line="240" w:lineRule="auto"/>
              <w:ind w:hanging="2"/>
              <w:jc w:val="both"/>
              <w:rPr>
                <w:rFonts w:asciiTheme="majorBidi" w:eastAsia="Cambria" w:hAnsiTheme="majorBidi" w:cstheme="majorBidi"/>
                <w:color w:val="000000"/>
                <w:sz w:val="24"/>
                <w:szCs w:val="24"/>
                <w:rtl/>
              </w:rPr>
            </w:pPr>
            <w:r w:rsidRPr="0049466F">
              <w:rPr>
                <w:rFonts w:asciiTheme="majorBidi" w:eastAsia="Cambria" w:hAnsiTheme="majorBidi" w:cstheme="majorBidi"/>
                <w:color w:val="000000"/>
                <w:sz w:val="24"/>
                <w:szCs w:val="24"/>
                <w:rtl/>
              </w:rPr>
              <w:t xml:space="preserve">تُجري </w:t>
            </w:r>
            <w:r w:rsidRPr="0049466F">
              <w:rPr>
                <w:rFonts w:asciiTheme="majorBidi" w:eastAsia="Cambria" w:hAnsiTheme="majorBidi" w:cstheme="majorBidi" w:hint="cs"/>
                <w:color w:val="000000"/>
                <w:sz w:val="24"/>
                <w:szCs w:val="24"/>
                <w:rtl/>
              </w:rPr>
              <w:t xml:space="preserve">وزارة الزراعة- المديرية العامة للزراعة </w:t>
            </w:r>
            <w:r w:rsidRPr="0049466F">
              <w:rPr>
                <w:rFonts w:asciiTheme="majorBidi" w:eastAsia="Cambria" w:hAnsiTheme="majorBidi" w:cstheme="majorBidi"/>
                <w:color w:val="000000"/>
                <w:sz w:val="24"/>
                <w:szCs w:val="24"/>
                <w:rtl/>
              </w:rPr>
              <w:t xml:space="preserve">وفقًا لأحكام قانون الشراء العام وبطريقة الظرف المختوم </w:t>
            </w:r>
            <w:r w:rsidRPr="0049466F">
              <w:rPr>
                <w:rFonts w:asciiTheme="majorBidi" w:eastAsia="Cambria" w:hAnsiTheme="majorBidi" w:cstheme="majorBidi" w:hint="cs"/>
                <w:color w:val="000000"/>
                <w:sz w:val="24"/>
                <w:szCs w:val="24"/>
                <w:rtl/>
              </w:rPr>
              <w:t>طلب عروض اسعار</w:t>
            </w:r>
            <w:r w:rsidRPr="0049466F">
              <w:rPr>
                <w:rFonts w:asciiTheme="majorBidi" w:eastAsia="Cambria" w:hAnsiTheme="majorBidi" w:cstheme="majorBidi"/>
                <w:color w:val="000000"/>
                <w:sz w:val="24"/>
                <w:szCs w:val="24"/>
                <w:rtl/>
              </w:rPr>
              <w:t xml:space="preserve"> لتلزيم </w:t>
            </w:r>
            <w:r w:rsidRPr="00087357">
              <w:rPr>
                <w:rFonts w:asciiTheme="majorBidi" w:eastAsia="Cambria" w:hAnsiTheme="majorBidi" w:cstheme="majorBidi"/>
                <w:color w:val="000000"/>
                <w:sz w:val="24"/>
                <w:szCs w:val="24"/>
                <w:rtl/>
              </w:rPr>
              <w:t>تقديم  محروقات سائلة  من مادة البنزين والمازوت الأخضر للسيارات والآليات، للعام 202</w:t>
            </w:r>
            <w:r w:rsidRPr="00087357">
              <w:rPr>
                <w:rFonts w:asciiTheme="majorBidi" w:eastAsia="Cambria" w:hAnsiTheme="majorBidi" w:cstheme="majorBidi" w:hint="cs"/>
                <w:color w:val="000000"/>
                <w:sz w:val="24"/>
                <w:szCs w:val="24"/>
                <w:rtl/>
              </w:rPr>
              <w:t xml:space="preserve">3 </w:t>
            </w:r>
          </w:p>
          <w:p w14:paraId="4C03B7EF" w14:textId="77777777" w:rsidR="006E2CBE" w:rsidRPr="00087357" w:rsidRDefault="006E2CBE" w:rsidP="006E2CBE">
            <w:pPr>
              <w:spacing w:line="240" w:lineRule="auto"/>
              <w:ind w:hanging="2"/>
              <w:jc w:val="both"/>
              <w:rPr>
                <w:rFonts w:asciiTheme="majorBidi" w:eastAsia="Cambria" w:hAnsiTheme="majorBidi" w:cstheme="majorBidi"/>
                <w:color w:val="000000"/>
                <w:sz w:val="24"/>
                <w:szCs w:val="24"/>
              </w:rPr>
            </w:pPr>
            <w:r w:rsidRPr="00087357">
              <w:rPr>
                <w:rFonts w:asciiTheme="majorBidi" w:eastAsia="Cambria" w:hAnsiTheme="majorBidi" w:cstheme="majorBidi"/>
                <w:color w:val="000000"/>
                <w:sz w:val="24"/>
                <w:szCs w:val="24"/>
                <w:rtl/>
              </w:rPr>
              <w:t>تسلّم المحروقات السائلة</w:t>
            </w:r>
            <w:r w:rsidRPr="00087357">
              <w:rPr>
                <w:rFonts w:asciiTheme="majorBidi" w:eastAsia="Cambria" w:hAnsiTheme="majorBidi" w:cstheme="majorBidi" w:hint="cs"/>
                <w:color w:val="000000"/>
                <w:sz w:val="24"/>
                <w:szCs w:val="24"/>
                <w:rtl/>
              </w:rPr>
              <w:t xml:space="preserve"> (بنزين ومازوت اخضر للسيارات والآليات )</w:t>
            </w:r>
            <w:r w:rsidRPr="00087357">
              <w:rPr>
                <w:rFonts w:asciiTheme="majorBidi" w:eastAsia="Cambria" w:hAnsiTheme="majorBidi" w:cstheme="majorBidi"/>
                <w:color w:val="000000"/>
                <w:sz w:val="24"/>
                <w:szCs w:val="24"/>
                <w:rtl/>
              </w:rPr>
              <w:t xml:space="preserve"> من محطات الملتزم المحدّدة عناوينها في اللائحة المقدمّة في الغلاف الأول من العرض ، ب</w:t>
            </w:r>
            <w:r w:rsidRPr="00087357">
              <w:rPr>
                <w:rFonts w:asciiTheme="majorBidi" w:eastAsia="Cambria" w:hAnsiTheme="majorBidi" w:cstheme="majorBidi" w:hint="cs"/>
                <w:color w:val="000000"/>
                <w:sz w:val="24"/>
                <w:szCs w:val="24"/>
                <w:rtl/>
              </w:rPr>
              <w:t>واسطة</w:t>
            </w:r>
            <w:r w:rsidRPr="00087357">
              <w:rPr>
                <w:rFonts w:asciiTheme="majorBidi" w:eastAsia="Cambria" w:hAnsiTheme="majorBidi" w:cstheme="majorBidi"/>
                <w:color w:val="000000"/>
                <w:sz w:val="24"/>
                <w:szCs w:val="24"/>
                <w:rtl/>
              </w:rPr>
              <w:t xml:space="preserve"> بطاقات تعبئة </w:t>
            </w:r>
            <w:r w:rsidRPr="00087357">
              <w:rPr>
                <w:rFonts w:asciiTheme="majorBidi" w:eastAsia="Cambria" w:hAnsiTheme="majorBidi" w:cstheme="majorBidi" w:hint="cs"/>
                <w:color w:val="000000"/>
                <w:sz w:val="24"/>
                <w:szCs w:val="24"/>
                <w:rtl/>
              </w:rPr>
              <w:t>إ</w:t>
            </w:r>
            <w:r w:rsidRPr="00087357">
              <w:rPr>
                <w:rFonts w:asciiTheme="majorBidi" w:eastAsia="Cambria" w:hAnsiTheme="majorBidi" w:cstheme="majorBidi"/>
                <w:color w:val="000000"/>
                <w:sz w:val="24"/>
                <w:szCs w:val="24"/>
                <w:rtl/>
              </w:rPr>
              <w:t>لكترونية</w:t>
            </w:r>
            <w:r>
              <w:rPr>
                <w:rFonts w:asciiTheme="majorBidi" w:eastAsia="Cambria" w:hAnsiTheme="majorBidi" w:cstheme="majorBidi" w:hint="cs"/>
                <w:color w:val="000000"/>
                <w:sz w:val="24"/>
                <w:szCs w:val="24"/>
                <w:rtl/>
              </w:rPr>
              <w:t xml:space="preserve"> مسبقة الدفع</w:t>
            </w:r>
            <w:r w:rsidRPr="00087357">
              <w:rPr>
                <w:rFonts w:asciiTheme="majorBidi" w:eastAsia="Cambria" w:hAnsiTheme="majorBidi" w:cstheme="majorBidi"/>
                <w:color w:val="000000"/>
                <w:sz w:val="24"/>
                <w:szCs w:val="24"/>
                <w:rtl/>
              </w:rPr>
              <w:t xml:space="preserve"> تصدر عن</w:t>
            </w:r>
            <w:r w:rsidRPr="00087357">
              <w:rPr>
                <w:rFonts w:asciiTheme="majorBidi" w:eastAsia="Cambria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87357">
              <w:rPr>
                <w:rFonts w:asciiTheme="majorBidi" w:eastAsia="Cambria" w:hAnsiTheme="majorBidi" w:cstheme="majorBidi" w:hint="cs"/>
                <w:color w:val="000000"/>
                <w:sz w:val="24"/>
                <w:szCs w:val="24"/>
                <w:rtl/>
              </w:rPr>
              <w:t>الشركة الملتزمة.</w:t>
            </w:r>
          </w:p>
          <w:p w14:paraId="45B41FBE" w14:textId="77777777" w:rsidR="006E2CBE" w:rsidRPr="00087357" w:rsidRDefault="006E2CBE" w:rsidP="006E2CBE">
            <w:pPr>
              <w:spacing w:line="240" w:lineRule="auto"/>
              <w:ind w:hanging="2"/>
              <w:jc w:val="both"/>
              <w:rPr>
                <w:rFonts w:asciiTheme="majorBidi" w:eastAsia="Cambria" w:hAnsiTheme="majorBidi" w:cstheme="majorBidi"/>
                <w:color w:val="000000"/>
                <w:sz w:val="24"/>
                <w:szCs w:val="24"/>
                <w:rtl/>
              </w:rPr>
            </w:pPr>
            <w:r w:rsidRPr="00087357">
              <w:rPr>
                <w:rFonts w:asciiTheme="majorBidi" w:eastAsia="Cambria" w:hAnsiTheme="majorBidi" w:cstheme="majorBidi" w:hint="cs"/>
                <w:color w:val="000000"/>
                <w:sz w:val="24"/>
                <w:szCs w:val="24"/>
                <w:rtl/>
              </w:rPr>
              <w:t xml:space="preserve">يصدر الملتزم بعد تبلغه الالتزام وفي مهلة اقصاها عشرة ايام بطاقات تعبئة خاصة بكل سيارة من السيارات </w:t>
            </w:r>
            <w:r>
              <w:rPr>
                <w:rFonts w:asciiTheme="majorBidi" w:eastAsia="Cambria" w:hAnsiTheme="majorBidi" w:cstheme="majorBidi" w:hint="cs"/>
                <w:color w:val="000000"/>
                <w:sz w:val="24"/>
                <w:szCs w:val="24"/>
                <w:rtl/>
              </w:rPr>
              <w:t>المحددة من قبل الجهة الشارية</w:t>
            </w:r>
            <w:r w:rsidRPr="00087357">
              <w:rPr>
                <w:rFonts w:asciiTheme="majorBidi" w:eastAsia="Cambria" w:hAnsiTheme="majorBidi" w:cstheme="majorBidi" w:hint="cs"/>
                <w:color w:val="000000"/>
                <w:sz w:val="24"/>
                <w:szCs w:val="24"/>
                <w:rtl/>
              </w:rPr>
              <w:t xml:space="preserve"> يحدد فيه السقف المعتمد لكل سيارة بموجب لائحة يبلغ بها الملتزم فور تبلغه</w:t>
            </w:r>
            <w:r>
              <w:rPr>
                <w:rFonts w:asciiTheme="majorBidi" w:eastAsia="Cambria" w:hAnsiTheme="majorBidi" w:cstheme="majorBidi" w:hint="cs"/>
                <w:color w:val="000000"/>
                <w:sz w:val="24"/>
                <w:szCs w:val="24"/>
                <w:rtl/>
              </w:rPr>
              <w:t xml:space="preserve"> تصديق التلزيم</w:t>
            </w:r>
            <w:r w:rsidRPr="00087357">
              <w:rPr>
                <w:rFonts w:asciiTheme="majorBidi" w:eastAsia="Cambria" w:hAnsiTheme="majorBidi" w:cstheme="majorBidi" w:hint="cs"/>
                <w:color w:val="000000"/>
                <w:sz w:val="24"/>
                <w:szCs w:val="24"/>
                <w:rtl/>
              </w:rPr>
              <w:t>،</w:t>
            </w:r>
          </w:p>
          <w:p w14:paraId="547B8E16" w14:textId="1E112D31" w:rsidR="00B235FD" w:rsidRPr="008D3049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A32A6A6" w:rsidR="00B235FD" w:rsidRDefault="00CA7C6C" w:rsidP="006E2CB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722BFE69" w:rsidR="00B235FD" w:rsidRDefault="002D7A72" w:rsidP="006E2CB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/ تنزيل مئوي /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6BEF99C" w:rsidR="009A3962" w:rsidRDefault="009A396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التنزيل المئو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ي</w:t>
            </w:r>
            <w:r w:rsidR="006E2CBE">
              <w:rPr>
                <w:rFonts w:hint="cs"/>
                <w:color w:val="000000"/>
                <w:sz w:val="24"/>
                <w:szCs w:val="24"/>
                <w:rtl/>
              </w:rPr>
              <w:t xml:space="preserve"> الأعلى.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077A8C26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A355323" w:rsidR="006E2CBE" w:rsidRDefault="006E2CBE" w:rsidP="006E2CBE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3.010.000.000 ل.ل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0CF62175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1C8FDD1C" w:rsidR="00B235FD" w:rsidRDefault="006E2CB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//////////////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0D77A3E8" w:rsidR="00B235FD" w:rsidRDefault="006E2CB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باللغ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ة العربية والشروط الفنية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>
              <w:rPr>
                <w:color w:val="000000"/>
                <w:sz w:val="24"/>
                <w:szCs w:val="24"/>
                <w:rtl/>
              </w:rPr>
              <w:t>الإنجليزية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31F3DC49" w:rsidR="00B235FD" w:rsidRDefault="006E2CB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</w:t>
            </w:r>
            <w:r>
              <w:rPr>
                <w:color w:val="000000"/>
                <w:sz w:val="24"/>
                <w:szCs w:val="24"/>
                <w:rtl/>
              </w:rPr>
              <w:t>حدد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ة في</w:t>
            </w:r>
            <w:r>
              <w:rPr>
                <w:color w:val="000000"/>
                <w:sz w:val="24"/>
                <w:szCs w:val="24"/>
                <w:rtl/>
              </w:rPr>
              <w:t xml:space="preserve"> ال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 الخاص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6E2CBE" w14:paraId="0E47A41D" w14:textId="77777777" w:rsidTr="005665C9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6E2CBE" w:rsidRDefault="006E2CBE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</w:tcPr>
          <w:p w14:paraId="076023BC" w14:textId="301C2315" w:rsidR="006E2CBE" w:rsidRDefault="006E2CBE" w:rsidP="00A20F6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93B55">
              <w:rPr>
                <w:rtl/>
              </w:rPr>
              <w:t xml:space="preserve"> (2</w:t>
            </w:r>
            <w:r w:rsidR="00A20F65">
              <w:rPr>
                <w:rFonts w:hint="cs"/>
                <w:rtl/>
              </w:rPr>
              <w:t>3</w:t>
            </w:r>
            <w:bookmarkStart w:id="0" w:name="_GoBack"/>
            <w:bookmarkEnd w:id="0"/>
            <w:r w:rsidRPr="00C93B55">
              <w:rPr>
                <w:rtl/>
              </w:rPr>
              <w:t>/11/2023) على الساعة (الثانية عشرة</w:t>
            </w:r>
            <w:r>
              <w:rPr>
                <w:rFonts w:hint="cs"/>
                <w:rtl/>
              </w:rPr>
              <w:t xml:space="preserve"> )</w:t>
            </w:r>
          </w:p>
        </w:tc>
      </w:tr>
      <w:tr w:rsidR="006E2CBE" w14:paraId="7E08AFF8" w14:textId="77777777" w:rsidTr="005665C9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6E2CBE" w:rsidRPr="000F5BBC" w:rsidRDefault="006E2CBE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</w:tcPr>
          <w:p w14:paraId="639FA1A2" w14:textId="19A23E8E" w:rsidR="006E2CBE" w:rsidRDefault="006E2CBE" w:rsidP="00A20F6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93B55">
              <w:rPr>
                <w:rtl/>
              </w:rPr>
              <w:t xml:space="preserve"> (2</w:t>
            </w:r>
            <w:r w:rsidR="00A20F65">
              <w:rPr>
                <w:rFonts w:hint="cs"/>
                <w:rtl/>
              </w:rPr>
              <w:t>3</w:t>
            </w:r>
            <w:r w:rsidRPr="00C93B55">
              <w:rPr>
                <w:rtl/>
              </w:rPr>
              <w:t>/11/2023) على الساعة (الثانية عشرة</w:t>
            </w:r>
            <w:r>
              <w:rPr>
                <w:rFonts w:hint="cs"/>
                <w:rtl/>
              </w:rPr>
              <w:t>)</w:t>
            </w:r>
          </w:p>
        </w:tc>
      </w:tr>
      <w:tr w:rsidR="006E2CBE" w14:paraId="6B79535C" w14:textId="77777777" w:rsidTr="005665C9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6E2CBE" w:rsidRDefault="006E2CBE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</w:tcPr>
          <w:p w14:paraId="5BF54588" w14:textId="2ABB6678" w:rsidR="006E2CBE" w:rsidRDefault="006E2CBE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C93B55">
              <w:rPr>
                <w:rtl/>
              </w:rPr>
              <w:t>لم يتم تخفيض مدة الإعلان</w:t>
            </w:r>
            <w:r w:rsidRPr="00C93B55">
              <w:t>.</w:t>
            </w:r>
          </w:p>
        </w:tc>
      </w:tr>
      <w:tr w:rsidR="002C453B" w14:paraId="712FC945" w14:textId="77777777" w:rsidTr="005665C9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2C453B" w:rsidRPr="000F5BBC" w:rsidRDefault="002C453B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</w:tcPr>
          <w:p w14:paraId="5E2FF751" w14:textId="55B39864" w:rsidR="002C453B" w:rsidRDefault="002C453B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15F1B">
              <w:rPr>
                <w:rtl/>
              </w:rPr>
              <w:t>قلم مصلحة ديوان المديرية العامة للزراعة – مبنى وزارة الزراعة الكائن في منطقة بئر حسن مقابل ثكنة هنري شهاب، الطابق الثالث</w:t>
            </w:r>
            <w:r w:rsidRPr="00315F1B">
              <w:t>.</w:t>
            </w:r>
          </w:p>
        </w:tc>
      </w:tr>
      <w:tr w:rsidR="002C453B" w14:paraId="50CAF2D4" w14:textId="77777777" w:rsidTr="005665C9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2C453B" w:rsidRPr="000F5BBC" w:rsidRDefault="002C453B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6825386" w14:textId="60B267D5" w:rsidR="002C453B" w:rsidRDefault="002C453B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15F1B">
              <w:rPr>
                <w:rtl/>
              </w:rPr>
              <w:t>قلم مصلحة ديوان المديرية العامة للزراعة – مبنى وزارة الزراعة الكائن في منطقة بئر حسن مقابل ثكنة هنري شهاب، الطابق الثالث</w:t>
            </w:r>
            <w:r w:rsidRPr="00315F1B">
              <w:t>.</w:t>
            </w:r>
          </w:p>
        </w:tc>
      </w:tr>
      <w:tr w:rsidR="002C453B" w14:paraId="148E8152" w14:textId="77777777" w:rsidTr="005665C9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2C453B" w:rsidRPr="000F5BBC" w:rsidRDefault="002C453B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</w:tcPr>
          <w:p w14:paraId="6A0D1FEC" w14:textId="1D8065D1" w:rsidR="002C453B" w:rsidRDefault="002C453B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15F1B">
              <w:rPr>
                <w:rtl/>
              </w:rPr>
              <w:t>مصلحة ديوان المديرية العامة للزراعة – مبنى وزارة الزراعة الكائن في منطقة بئر حسن مقابل ثكنة هنري شهاب، الطابق الثالث</w:t>
            </w:r>
            <w:r w:rsidRPr="00315F1B">
              <w:t>.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C453B" w14:paraId="25E7ED41" w14:textId="77777777" w:rsidTr="00AA26A6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C453B" w:rsidRPr="000F5BBC" w:rsidRDefault="002C453B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</w:tcPr>
          <w:p w14:paraId="350542FE" w14:textId="1B16C183" w:rsidR="002C453B" w:rsidRDefault="002C453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A0B75">
              <w:rPr>
                <w:rtl/>
              </w:rPr>
              <w:t>حدد بمبلغ وقدره 9.000.000 ل.ل</w:t>
            </w:r>
          </w:p>
        </w:tc>
      </w:tr>
      <w:tr w:rsidR="002C453B" w14:paraId="303090E8" w14:textId="77777777" w:rsidTr="00AA26A6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C453B" w:rsidRPr="000F5BBC" w:rsidRDefault="002C453B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</w:tcPr>
          <w:p w14:paraId="1C81874F" w14:textId="5147EB5A" w:rsidR="002C453B" w:rsidRDefault="002C453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A0B75">
              <w:t xml:space="preserve"> </w:t>
            </w:r>
            <w:r>
              <w:rPr>
                <w:rtl/>
              </w:rPr>
              <w:t>تحد</w:t>
            </w:r>
            <w:r w:rsidRPr="00EA0B75">
              <w:rPr>
                <w:rtl/>
              </w:rPr>
              <w:t>د مدة صلاحية ضمان العرض بزيادة 58 يوما عن التاريخ النهائي لتقديم العروض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2361693" w14:textId="77777777" w:rsidR="002C453B" w:rsidRPr="00E4646C" w:rsidRDefault="002C453B" w:rsidP="002C453B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000CEBD5" w:rsidR="00B235FD" w:rsidRDefault="002C453B" w:rsidP="002C453B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سامر الخوند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01822700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samerkhawand@gmail.com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8716D" w14:textId="77777777" w:rsidR="001721D8" w:rsidRDefault="001721D8">
      <w:pPr>
        <w:spacing w:line="240" w:lineRule="auto"/>
      </w:pPr>
      <w:r>
        <w:separator/>
      </w:r>
    </w:p>
  </w:endnote>
  <w:endnote w:type="continuationSeparator" w:id="0">
    <w:p w14:paraId="3ED15E07" w14:textId="77777777" w:rsidR="001721D8" w:rsidRDefault="00172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4D493" w14:textId="77777777" w:rsidR="001721D8" w:rsidRDefault="001721D8">
      <w:pPr>
        <w:spacing w:line="240" w:lineRule="auto"/>
      </w:pPr>
      <w:r>
        <w:separator/>
      </w:r>
    </w:p>
  </w:footnote>
  <w:footnote w:type="continuationSeparator" w:id="0">
    <w:p w14:paraId="789D98C6" w14:textId="77777777" w:rsidR="001721D8" w:rsidRDefault="001721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80A28"/>
    <w:rsid w:val="000C323F"/>
    <w:rsid w:val="000C4C75"/>
    <w:rsid w:val="000F5BBC"/>
    <w:rsid w:val="001176D5"/>
    <w:rsid w:val="001532FA"/>
    <w:rsid w:val="001721D8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C453B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6E2CBE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0F65"/>
    <w:rsid w:val="00A23D1D"/>
    <w:rsid w:val="00A465B5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EF3AA2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ITC</cp:lastModifiedBy>
  <cp:revision>3</cp:revision>
  <cp:lastPrinted>2022-08-29T09:45:00Z</cp:lastPrinted>
  <dcterms:created xsi:type="dcterms:W3CDTF">2023-11-10T08:43:00Z</dcterms:created>
  <dcterms:modified xsi:type="dcterms:W3CDTF">2023-11-10T11:12:00Z</dcterms:modified>
</cp:coreProperties>
</file>