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91008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</w:p>
          <w:p w:rsidR="006A7C72" w:rsidRDefault="006A7C7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B235FD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91008E" w:rsidP="0010480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- بئر حسن -  نزلة السلطان ابراهيم </w:t>
            </w:r>
          </w:p>
          <w:p w:rsidR="006A7C72" w:rsidRDefault="006A7C72" w:rsidP="0010480C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7C755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قرار مجلس الأدارة الفوري رقم </w:t>
            </w:r>
            <w:r w:rsidR="007C755A">
              <w:rPr>
                <w:rFonts w:hint="cs"/>
                <w:color w:val="000000"/>
                <w:sz w:val="24"/>
                <w:szCs w:val="24"/>
                <w:rtl/>
              </w:rPr>
              <w:t>5187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تاريخ 5/12/2022 </w:t>
            </w: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7C755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تلزيم أشغال </w:t>
            </w:r>
            <w:r w:rsidR="00313922">
              <w:rPr>
                <w:rFonts w:hint="cs"/>
                <w:color w:val="000000"/>
                <w:sz w:val="24"/>
                <w:szCs w:val="24"/>
                <w:rtl/>
              </w:rPr>
              <w:t xml:space="preserve">مائية ( </w:t>
            </w:r>
            <w:r w:rsidR="007C755A">
              <w:rPr>
                <w:rFonts w:hint="cs"/>
                <w:color w:val="000000"/>
                <w:sz w:val="24"/>
                <w:szCs w:val="24"/>
                <w:rtl/>
              </w:rPr>
              <w:t xml:space="preserve">حفر بئر استقصائية </w:t>
            </w:r>
            <w:r w:rsidR="00313922">
              <w:rPr>
                <w:rFonts w:hint="cs"/>
                <w:color w:val="000000"/>
                <w:sz w:val="24"/>
                <w:szCs w:val="24"/>
                <w:rtl/>
              </w:rPr>
              <w:t xml:space="preserve">) في بلدة </w:t>
            </w:r>
            <w:r w:rsidR="007C755A">
              <w:rPr>
                <w:rFonts w:hint="cs"/>
                <w:color w:val="000000"/>
                <w:sz w:val="24"/>
                <w:szCs w:val="24"/>
                <w:rtl/>
              </w:rPr>
              <w:t>عيناتا</w:t>
            </w:r>
            <w:r w:rsidR="00313922">
              <w:rPr>
                <w:rFonts w:hint="cs"/>
                <w:color w:val="000000"/>
                <w:sz w:val="24"/>
                <w:szCs w:val="24"/>
                <w:rtl/>
              </w:rPr>
              <w:t xml:space="preserve"> - قضاء بنت جبيل</w:t>
            </w:r>
          </w:p>
          <w:p w:rsidR="006A7C72" w:rsidRDefault="006A7C72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13922" w:rsidRDefault="00313922" w:rsidP="0091008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أشغال مائية (</w:t>
            </w:r>
            <w:r w:rsidR="007C755A">
              <w:rPr>
                <w:rFonts w:hint="cs"/>
                <w:color w:val="000000"/>
                <w:sz w:val="24"/>
                <w:szCs w:val="24"/>
                <w:rtl/>
              </w:rPr>
              <w:t>حفر بئر استقصائية ) في بلدة عيناتا - قضاء بنت جبيل</w:t>
            </w:r>
          </w:p>
          <w:p w:rsidR="0091008E" w:rsidRDefault="0091008E" w:rsidP="0091008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والوقت المحدد لتنفيذ الأشغال هي سنة كاملة </w:t>
            </w:r>
          </w:p>
          <w:p w:rsidR="006A7C72" w:rsidRPr="008D3049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31392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</w:t>
            </w:r>
            <w:r w:rsidR="00313922">
              <w:rPr>
                <w:rFonts w:hint="cs"/>
                <w:color w:val="000000"/>
                <w:sz w:val="24"/>
                <w:szCs w:val="24"/>
                <w:rtl/>
              </w:rPr>
              <w:t>مائية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مناقصة عمومية على أساس تقديم أسعار </w:t>
            </w:r>
          </w:p>
          <w:p w:rsidR="006A7C72" w:rsidRDefault="006A7C7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على السعر الأدنى من العارضين المقبولين </w:t>
            </w:r>
          </w:p>
          <w:p w:rsidR="006A7C72" w:rsidRDefault="006A7C72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  <w:p w:rsidR="006A7C72" w:rsidRDefault="006A7C72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313922" w:rsidP="0031392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عشرة</w:t>
            </w:r>
            <w:r w:rsidR="0091008E">
              <w:rPr>
                <w:rFonts w:hint="cs"/>
                <w:color w:val="000000"/>
                <w:sz w:val="24"/>
                <w:szCs w:val="24"/>
                <w:rtl/>
              </w:rPr>
              <w:t xml:space="preserve"> ملايين ليرة لبنانية /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91008E">
              <w:rPr>
                <w:rFonts w:hint="cs"/>
                <w:color w:val="000000"/>
                <w:sz w:val="24"/>
                <w:szCs w:val="24"/>
                <w:rtl/>
              </w:rPr>
              <w:t>,000,000/ ل.ل.</w:t>
            </w: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</w:rPr>
            </w:pPr>
          </w:p>
          <w:p w:rsidR="006A7C72" w:rsidRDefault="0091008E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/</w:t>
            </w: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91008E" w:rsidP="00C62BC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العارض أن يكون مهندسا مدنيا</w:t>
            </w:r>
            <w:r w:rsidR="00C62BC6">
              <w:rPr>
                <w:rFonts w:hint="cs"/>
                <w:color w:val="000000"/>
                <w:sz w:val="24"/>
                <w:szCs w:val="24"/>
                <w:rtl/>
              </w:rPr>
              <w:t xml:space="preserve"> أو ميكانيكيا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لديه خبرة</w:t>
            </w:r>
            <w:r w:rsidR="00C62BC6">
              <w:rPr>
                <w:rFonts w:hint="cs"/>
                <w:color w:val="000000"/>
                <w:sz w:val="24"/>
                <w:szCs w:val="24"/>
                <w:rtl/>
              </w:rPr>
              <w:t xml:space="preserve"> أكثر من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عشر سنوات أو يعمل لدى العارض مهندسا مدنيا</w:t>
            </w:r>
            <w:r w:rsidR="00C62BC6">
              <w:rPr>
                <w:rFonts w:hint="cs"/>
                <w:color w:val="000000"/>
                <w:sz w:val="24"/>
                <w:szCs w:val="24"/>
                <w:rtl/>
              </w:rPr>
              <w:t xml:space="preserve"> أو ميكانيكيا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لديه خبرة أكثر من عشر سنوات سيعمل مديرا للمشروع موضوع المناقصة </w:t>
            </w:r>
            <w:r w:rsidR="00C62BC6">
              <w:rPr>
                <w:rFonts w:hint="cs"/>
                <w:color w:val="000000"/>
                <w:sz w:val="24"/>
                <w:szCs w:val="24"/>
                <w:rtl/>
              </w:rPr>
              <w:t xml:space="preserve">و عليه تقديم أفادة تثبت أنه نفذ و جهز بئرا بعمق أكثر من ستماية مترا طوليا وأن يملك معدات الحفر الخاصة بحفر الآبار الأرتوازية المماثلة </w:t>
            </w:r>
          </w:p>
          <w:p w:rsidR="006A7C72" w:rsidRDefault="006A7C7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p w:rsidR="006A7C72" w:rsidRDefault="006A7C72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120426" w:rsidRPr="000F5BBC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lastRenderedPageBreak/>
              <w:t>تواريخ/ مهل/ أماكن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C2319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C23195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/12/2022 الساعة العاشرة والنصف صباحا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C2319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C23195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/12/2022 الساعة العاشرة صباحا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الى خمسة عشر يوما بغية تنفيذ الأشغال بالسرعة الممكنة نظرا للضرورة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C2319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C23195">
              <w:rPr>
                <w:rFonts w:hint="cs"/>
                <w:color w:val="000000"/>
                <w:sz w:val="24"/>
                <w:szCs w:val="24"/>
                <w:rtl/>
              </w:rPr>
              <w:t>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/12/2022 الساعة العاشرة صباحا </w:t>
            </w:r>
          </w:p>
          <w:p w:rsidR="006A7C72" w:rsidRDefault="006A7C7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C23195" w:rsidP="005871A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22</w:t>
            </w:r>
            <w:r w:rsidR="005871AA">
              <w:rPr>
                <w:rFonts w:hint="cs"/>
                <w:color w:val="000000"/>
                <w:sz w:val="24"/>
                <w:szCs w:val="24"/>
                <w:rtl/>
              </w:rPr>
              <w:t xml:space="preserve">/12/2022 الساعة العاشرة صباحا </w:t>
            </w:r>
          </w:p>
          <w:p w:rsidR="006A7C72" w:rsidRDefault="006A7C7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ستون يوما من تاريخ جلسة التلزيم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5871A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مصلحة الديوان في  مجلس االجنوب بئر حسن - نزلة السلطان ابراهيم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قلم المجلس 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- بئر حسن نزلة السلطان ابراهيم </w:t>
            </w:r>
          </w:p>
          <w:p w:rsidR="006A7C72" w:rsidRDefault="006A7C7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6A7C72" w:rsidRDefault="00891781" w:rsidP="0031392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ماية و </w:t>
            </w:r>
            <w:r w:rsidR="00313922">
              <w:rPr>
                <w:rFonts w:hint="cs"/>
                <w:color w:val="000000"/>
                <w:sz w:val="24"/>
                <w:szCs w:val="24"/>
                <w:rtl/>
              </w:rPr>
              <w:t>خمسة وثمانون</w:t>
            </w:r>
            <w:r w:rsidR="005871A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313922">
              <w:rPr>
                <w:rFonts w:hint="cs"/>
                <w:color w:val="000000"/>
                <w:sz w:val="24"/>
                <w:szCs w:val="24"/>
                <w:rtl/>
              </w:rPr>
              <w:t xml:space="preserve">مليون </w:t>
            </w:r>
            <w:r w:rsidR="005871AA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</w:t>
            </w:r>
            <w:r w:rsidR="0031392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313922">
              <w:rPr>
                <w:rFonts w:hint="cs"/>
                <w:color w:val="000000"/>
                <w:sz w:val="24"/>
                <w:szCs w:val="24"/>
                <w:rtl/>
              </w:rPr>
              <w:t>85,000,000/ ل.ل.</w:t>
            </w:r>
          </w:p>
          <w:p w:rsidR="006A7C72" w:rsidRDefault="006A7C72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5871A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</w:tcPr>
          <w:p w:rsidR="006A7C72" w:rsidRDefault="006A7C72" w:rsidP="005871A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</w:p>
          <w:p w:rsidR="006A7C72" w:rsidRDefault="005871AA" w:rsidP="005871A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>تسعون يوما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5871A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5871A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5871AA">
              <w:rPr>
                <w:rFonts w:ascii="Arial" w:eastAsia="Arial" w:hAnsi="Arial" w:cs="Arial"/>
                <w:color w:val="000000"/>
                <w:sz w:val="24"/>
                <w:szCs w:val="24"/>
              </w:rPr>
              <w:t>01826238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5871AA">
              <w:rPr>
                <w:rFonts w:ascii="Arial" w:eastAsia="Arial" w:hAnsi="Arial" w:cs="Arial"/>
                <w:color w:val="000000"/>
                <w:sz w:val="24"/>
                <w:szCs w:val="24"/>
              </w:rPr>
              <w:t>southcouncil2022@gmail.com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129" w:rsidRDefault="00BA6129">
      <w:pPr>
        <w:spacing w:line="240" w:lineRule="auto"/>
      </w:pPr>
      <w:r>
        <w:separator/>
      </w:r>
    </w:p>
  </w:endnote>
  <w:endnote w:type="continuationSeparator" w:id="1">
    <w:p w:rsidR="00BA6129" w:rsidRDefault="00BA612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129" w:rsidRDefault="00BA6129">
      <w:pPr>
        <w:spacing w:line="240" w:lineRule="auto"/>
      </w:pPr>
      <w:r>
        <w:separator/>
      </w:r>
    </w:p>
  </w:footnote>
  <w:footnote w:type="continuationSeparator" w:id="1">
    <w:p w:rsidR="00BA6129" w:rsidRDefault="00BA612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776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776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51B21"/>
    <w:rsid w:val="00057E7A"/>
    <w:rsid w:val="000C323F"/>
    <w:rsid w:val="000C4C75"/>
    <w:rsid w:val="000F5BBC"/>
    <w:rsid w:val="0010480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13922"/>
    <w:rsid w:val="00372CAD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53774B"/>
    <w:rsid w:val="00560775"/>
    <w:rsid w:val="00580D4C"/>
    <w:rsid w:val="005871AA"/>
    <w:rsid w:val="005A0FD0"/>
    <w:rsid w:val="00600C24"/>
    <w:rsid w:val="00602315"/>
    <w:rsid w:val="00607625"/>
    <w:rsid w:val="00614D21"/>
    <w:rsid w:val="00646963"/>
    <w:rsid w:val="006634DB"/>
    <w:rsid w:val="00693D36"/>
    <w:rsid w:val="006A7C72"/>
    <w:rsid w:val="00710D03"/>
    <w:rsid w:val="00750C8B"/>
    <w:rsid w:val="007524D1"/>
    <w:rsid w:val="00774BCF"/>
    <w:rsid w:val="0079090C"/>
    <w:rsid w:val="00795C6E"/>
    <w:rsid w:val="007B68B9"/>
    <w:rsid w:val="007C755A"/>
    <w:rsid w:val="007E2C66"/>
    <w:rsid w:val="007F36D7"/>
    <w:rsid w:val="007F6601"/>
    <w:rsid w:val="00801F32"/>
    <w:rsid w:val="0081782A"/>
    <w:rsid w:val="00823E2E"/>
    <w:rsid w:val="00891781"/>
    <w:rsid w:val="008D3049"/>
    <w:rsid w:val="008E70EB"/>
    <w:rsid w:val="0091008E"/>
    <w:rsid w:val="0091237C"/>
    <w:rsid w:val="0091279E"/>
    <w:rsid w:val="009168D1"/>
    <w:rsid w:val="0092753D"/>
    <w:rsid w:val="00940B28"/>
    <w:rsid w:val="009552E8"/>
    <w:rsid w:val="009672A0"/>
    <w:rsid w:val="00967D45"/>
    <w:rsid w:val="009776AA"/>
    <w:rsid w:val="00977899"/>
    <w:rsid w:val="00981F98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BA6129"/>
    <w:rsid w:val="00C07FFD"/>
    <w:rsid w:val="00C23195"/>
    <w:rsid w:val="00C23DB5"/>
    <w:rsid w:val="00C45470"/>
    <w:rsid w:val="00C62BC6"/>
    <w:rsid w:val="00C73A4F"/>
    <w:rsid w:val="00C75ED9"/>
    <w:rsid w:val="00C85061"/>
    <w:rsid w:val="00C86499"/>
    <w:rsid w:val="00CA4788"/>
    <w:rsid w:val="00CA7C6C"/>
    <w:rsid w:val="00CB7C89"/>
    <w:rsid w:val="00CC39DC"/>
    <w:rsid w:val="00CF41E6"/>
    <w:rsid w:val="00CF4D51"/>
    <w:rsid w:val="00D12C75"/>
    <w:rsid w:val="00D15312"/>
    <w:rsid w:val="00D40723"/>
    <w:rsid w:val="00D7469C"/>
    <w:rsid w:val="00D77AA6"/>
    <w:rsid w:val="00DC4577"/>
    <w:rsid w:val="00E30E9C"/>
    <w:rsid w:val="00E35D1F"/>
    <w:rsid w:val="00E36313"/>
    <w:rsid w:val="00E56044"/>
    <w:rsid w:val="00E60DD0"/>
    <w:rsid w:val="00EC0573"/>
    <w:rsid w:val="00EC5F24"/>
    <w:rsid w:val="00EE738A"/>
    <w:rsid w:val="00F04DAC"/>
    <w:rsid w:val="00F21192"/>
    <w:rsid w:val="00F65409"/>
    <w:rsid w:val="00F82397"/>
    <w:rsid w:val="00FA293B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1279E"/>
  </w:style>
  <w:style w:type="paragraph" w:styleId="Heading1">
    <w:name w:val="heading 1"/>
    <w:basedOn w:val="Normal"/>
    <w:next w:val="Normal"/>
    <w:rsid w:val="009127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1279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127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91279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1279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1279E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91279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9127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1279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91279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91279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91279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91279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cp:lastPrinted>2022-12-01T08:24:00Z</cp:lastPrinted>
  <dcterms:created xsi:type="dcterms:W3CDTF">2022-12-05T11:23:00Z</dcterms:created>
  <dcterms:modified xsi:type="dcterms:W3CDTF">2022-12-08T08:59:00Z</dcterms:modified>
</cp:coreProperties>
</file>