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159D1" w14:textId="2A470C0E" w:rsidR="00D42E47" w:rsidRPr="00E345CB" w:rsidRDefault="00D42E47" w:rsidP="0053043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28730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</w:p>
    <w:p w14:paraId="354F6784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4242FC75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1EDBF59D" w14:textId="519DC951" w:rsidR="007F0194" w:rsidRDefault="00D42E47" w:rsidP="00265C1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7A3DFD">
        <w:rPr>
          <w:rFonts w:cs="Simplified Arabic" w:hint="cs"/>
          <w:sz w:val="28"/>
          <w:szCs w:val="28"/>
          <w:rtl/>
          <w:lang w:bidi="ar-LB"/>
        </w:rPr>
        <w:t xml:space="preserve"> </w:t>
      </w:r>
      <w:r w:rsidR="00E218D8" w:rsidRPr="00E218D8">
        <w:rPr>
          <w:rFonts w:cs="Simplified Arabic"/>
          <w:sz w:val="28"/>
          <w:szCs w:val="28"/>
          <w:rtl/>
          <w:lang w:bidi="ar-LB"/>
        </w:rPr>
        <w:t>تاهيل طريق بطرام ضهور الهوا</w:t>
      </w:r>
    </w:p>
    <w:p w14:paraId="776A4B18" w14:textId="77777777"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14:paraId="43CFC75D" w14:textId="77777777"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14:paraId="15200724" w14:textId="77777777"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14:paraId="08BEA714" w14:textId="2B462076" w:rsidR="00BF4102" w:rsidRPr="005A1208" w:rsidRDefault="009423B3" w:rsidP="00EE229D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28730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28730E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28730E">
        <w:rPr>
          <w:rFonts w:cs="Simplified Arabic" w:hint="cs"/>
          <w:sz w:val="28"/>
          <w:szCs w:val="28"/>
          <w:rtl/>
          <w:lang w:bidi="ar-LB"/>
        </w:rPr>
        <w:t>ا</w:t>
      </w:r>
      <w:r w:rsidR="00E218D8" w:rsidRPr="00E218D8">
        <w:rPr>
          <w:rFonts w:cs="Simplified Arabic"/>
          <w:sz w:val="28"/>
          <w:szCs w:val="28"/>
          <w:rtl/>
          <w:lang w:bidi="ar-LB"/>
        </w:rPr>
        <w:t>تاهيل طريق بطرام ضهور الهوا</w:t>
      </w:r>
    </w:p>
    <w:p w14:paraId="151C6A2F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7E223E39" w14:textId="2FA86496" w:rsidR="009423B3" w:rsidRPr="00E345CB" w:rsidRDefault="009423B3" w:rsidP="0053043D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28730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28730E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14:paraId="02BA16E8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380D820C" w14:textId="77777777"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14:paraId="7942CFF0" w14:textId="77777777"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13302945" w14:textId="77777777"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14:paraId="39ABF1F1" w14:textId="77777777"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14:paraId="146D7508" w14:textId="77777777"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462F7C83" w14:textId="77777777"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26C887CE" w14:textId="77777777"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760EB7FC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14:paraId="2DB529B2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14:paraId="1A0D61EA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14:paraId="0E721618" w14:textId="77777777"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14:paraId="49C64027" w14:textId="77777777"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14:paraId="5598032A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3BE4AC8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14:paraId="7647C367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14:paraId="3A204413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14:paraId="02E057E9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7399324D" w14:textId="77777777" w:rsidR="00D42E47" w:rsidRPr="00E345CB" w:rsidRDefault="00D42E47" w:rsidP="007A79DD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7A79DD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المؤقت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572B97B4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14:paraId="3E67BC2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14:paraId="2CAA870D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50BD7DD" w14:textId="77777777"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14:paraId="5265007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14:paraId="07CFC481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14:paraId="48B23239" w14:textId="77777777"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14:paraId="773D98BC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14:paraId="111950F2" w14:textId="77777777"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13431614" w14:textId="77777777"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0FB2BFA8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14:paraId="576F40F5" w14:textId="77777777"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14:paraId="621BE84B" w14:textId="77777777"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14:paraId="63AB77A9" w14:textId="77777777"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14:paraId="441A763F" w14:textId="77777777"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14:paraId="46371F49" w14:textId="77777777"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14:paraId="4BB80989" w14:textId="77777777"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14:paraId="6E52BAB0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14:paraId="76D0DDAE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14:paraId="45D56435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67212CE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14:paraId="0148429B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14:paraId="4C2FD8A6" w14:textId="77777777"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14:paraId="629735D1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14:paraId="5DF86C3D" w14:textId="77777777"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14:paraId="1E5D4DC8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14:paraId="7C7DC18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F764A01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14:paraId="7802133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14:paraId="02A7A210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400F023" w14:textId="77777777"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14:paraId="630974FD" w14:textId="1AD2C10C" w:rsidR="00BD5CF6" w:rsidRPr="00F95B71" w:rsidRDefault="00BD5CF6" w:rsidP="0093236B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E218D8">
        <w:rPr>
          <w:rFonts w:ascii="MetaBook-Roman" w:eastAsia="Times New Roman" w:hAnsi="MetaBook-Roman" w:cs="Arabic Transparent" w:hint="cs"/>
          <w:sz w:val="28"/>
          <w:szCs w:val="28"/>
          <w:rtl/>
        </w:rPr>
        <w:t>175</w:t>
      </w:r>
      <w:r w:rsidR="007817F4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,000,000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E218D8">
        <w:rPr>
          <w:rFonts w:ascii="MetaBook-Roman" w:eastAsia="Times New Roman" w:hAnsi="MetaBook-Roman" w:cs="Arabic Transparent" w:hint="cs"/>
          <w:sz w:val="28"/>
          <w:szCs w:val="28"/>
          <w:rtl/>
        </w:rPr>
        <w:t>مئة وخمسة وسبعون</w:t>
      </w:r>
      <w:r w:rsidR="007A3DFD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7CD9EBA4" w14:textId="77777777"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14:paraId="4F31FBB2" w14:textId="77777777"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B91C516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14:paraId="3242CCA3" w14:textId="77777777"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47B1556B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7926B94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14:paraId="5D9F60C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14:paraId="4650160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096A91D8" w14:textId="77777777"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14:paraId="5869C9E2" w14:textId="77777777"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14:paraId="6D72C8B4" w14:textId="77777777"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14:paraId="678A86EB" w14:textId="77777777"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14:paraId="4866C401" w14:textId="77777777"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14:paraId="297A4404" w14:textId="77777777"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14:paraId="52900546" w14:textId="77777777"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14:paraId="7A2734A1" w14:textId="77777777"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14:paraId="4D1AFB66" w14:textId="77777777"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14:paraId="1F2B5C16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14:paraId="5D787E46" w14:textId="77777777"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2912BCD" w14:textId="77777777"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14:paraId="464A58A6" w14:textId="77777777"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14:paraId="41069233" w14:textId="77777777" w:rsidR="00584970" w:rsidRDefault="00584970" w:rsidP="00584970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</w:p>
    <w:p w14:paraId="2D37B7D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4D947D49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14:paraId="54972C9D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46976DB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3A5991F3" w14:textId="77777777"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14:paraId="1940EA27" w14:textId="77777777"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14:paraId="6A638998" w14:textId="77777777"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07A28B9A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14:paraId="01D23E55" w14:textId="77777777"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14:paraId="79ADFCDF" w14:textId="77777777"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22CAE77C" w14:textId="77777777"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14:paraId="5D1F3CD0" w14:textId="77777777"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14:paraId="126CDD51" w14:textId="77777777"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14:paraId="1B1C473F" w14:textId="77777777" w:rsidR="0073175A" w:rsidRPr="0088514E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14:paraId="26E5F91B" w14:textId="77777777"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14:paraId="5F9243A5" w14:textId="77777777"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61CE0" w14:textId="77777777" w:rsidR="00C84E6C" w:rsidRDefault="00C84E6C" w:rsidP="001300DD">
      <w:pPr>
        <w:spacing w:after="0" w:line="240" w:lineRule="auto"/>
      </w:pPr>
      <w:r>
        <w:separator/>
      </w:r>
    </w:p>
  </w:endnote>
  <w:endnote w:type="continuationSeparator" w:id="0">
    <w:p w14:paraId="53831520" w14:textId="77777777" w:rsidR="00C84E6C" w:rsidRDefault="00C84E6C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0601A" w14:textId="77777777" w:rsidR="00C84E6C" w:rsidRDefault="00C84E6C" w:rsidP="001300DD">
      <w:pPr>
        <w:spacing w:after="0" w:line="240" w:lineRule="auto"/>
      </w:pPr>
      <w:r>
        <w:separator/>
      </w:r>
    </w:p>
  </w:footnote>
  <w:footnote w:type="continuationSeparator" w:id="0">
    <w:p w14:paraId="5F13F42D" w14:textId="77777777" w:rsidR="00C84E6C" w:rsidRDefault="00C84E6C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 w15:restartNumberingAfterBreak="0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81532">
    <w:abstractNumId w:val="8"/>
  </w:num>
  <w:num w:numId="2" w16cid:durableId="830409111">
    <w:abstractNumId w:val="4"/>
  </w:num>
  <w:num w:numId="3" w16cid:durableId="1008563010">
    <w:abstractNumId w:val="2"/>
  </w:num>
  <w:num w:numId="4" w16cid:durableId="769661553">
    <w:abstractNumId w:val="10"/>
  </w:num>
  <w:num w:numId="5" w16cid:durableId="641933977">
    <w:abstractNumId w:val="0"/>
  </w:num>
  <w:num w:numId="6" w16cid:durableId="863516632">
    <w:abstractNumId w:val="9"/>
  </w:num>
  <w:num w:numId="7" w16cid:durableId="1079526338">
    <w:abstractNumId w:val="7"/>
  </w:num>
  <w:num w:numId="8" w16cid:durableId="612710541">
    <w:abstractNumId w:val="1"/>
  </w:num>
  <w:num w:numId="9" w16cid:durableId="1097022521">
    <w:abstractNumId w:val="5"/>
  </w:num>
  <w:num w:numId="10" w16cid:durableId="636226576">
    <w:abstractNumId w:val="6"/>
  </w:num>
  <w:num w:numId="11" w16cid:durableId="21057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6B"/>
    <w:rsid w:val="00004ADC"/>
    <w:rsid w:val="0004253E"/>
    <w:rsid w:val="00044FC5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B1065"/>
    <w:rsid w:val="001E59B9"/>
    <w:rsid w:val="001E6FBC"/>
    <w:rsid w:val="001F2579"/>
    <w:rsid w:val="00210030"/>
    <w:rsid w:val="00211CB9"/>
    <w:rsid w:val="0021210B"/>
    <w:rsid w:val="0022451D"/>
    <w:rsid w:val="00225F9A"/>
    <w:rsid w:val="00265C19"/>
    <w:rsid w:val="0028730E"/>
    <w:rsid w:val="00293F58"/>
    <w:rsid w:val="002947E1"/>
    <w:rsid w:val="002A2C3A"/>
    <w:rsid w:val="002A65DD"/>
    <w:rsid w:val="002C6FC8"/>
    <w:rsid w:val="00303DBA"/>
    <w:rsid w:val="00305FDE"/>
    <w:rsid w:val="0034270C"/>
    <w:rsid w:val="00344EA8"/>
    <w:rsid w:val="0038500F"/>
    <w:rsid w:val="003A4923"/>
    <w:rsid w:val="00415E86"/>
    <w:rsid w:val="00422067"/>
    <w:rsid w:val="00427D27"/>
    <w:rsid w:val="00431C68"/>
    <w:rsid w:val="004331AE"/>
    <w:rsid w:val="0048412E"/>
    <w:rsid w:val="00495BD9"/>
    <w:rsid w:val="00496C86"/>
    <w:rsid w:val="004C0C5F"/>
    <w:rsid w:val="004C5C18"/>
    <w:rsid w:val="004D3331"/>
    <w:rsid w:val="004E1F41"/>
    <w:rsid w:val="0053043D"/>
    <w:rsid w:val="005654FB"/>
    <w:rsid w:val="00565F50"/>
    <w:rsid w:val="00584909"/>
    <w:rsid w:val="00584970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20420"/>
    <w:rsid w:val="00633BD8"/>
    <w:rsid w:val="0065497A"/>
    <w:rsid w:val="00686AF5"/>
    <w:rsid w:val="006A34E7"/>
    <w:rsid w:val="006B6778"/>
    <w:rsid w:val="006C561E"/>
    <w:rsid w:val="006F0CF6"/>
    <w:rsid w:val="0073175A"/>
    <w:rsid w:val="00754A16"/>
    <w:rsid w:val="007817F4"/>
    <w:rsid w:val="007849E0"/>
    <w:rsid w:val="007A3DFD"/>
    <w:rsid w:val="007A79DD"/>
    <w:rsid w:val="007D494B"/>
    <w:rsid w:val="007F0194"/>
    <w:rsid w:val="00806726"/>
    <w:rsid w:val="008136BB"/>
    <w:rsid w:val="00827E36"/>
    <w:rsid w:val="008332D6"/>
    <w:rsid w:val="00872A59"/>
    <w:rsid w:val="00873D3C"/>
    <w:rsid w:val="00875B2B"/>
    <w:rsid w:val="0088514E"/>
    <w:rsid w:val="00885961"/>
    <w:rsid w:val="008B4B51"/>
    <w:rsid w:val="008C577C"/>
    <w:rsid w:val="008D6D97"/>
    <w:rsid w:val="008E5058"/>
    <w:rsid w:val="0090278B"/>
    <w:rsid w:val="0092138E"/>
    <w:rsid w:val="00926AFC"/>
    <w:rsid w:val="0093236B"/>
    <w:rsid w:val="00932EB0"/>
    <w:rsid w:val="009423B3"/>
    <w:rsid w:val="009550F6"/>
    <w:rsid w:val="0097497A"/>
    <w:rsid w:val="00993A74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7117D"/>
    <w:rsid w:val="00AB5480"/>
    <w:rsid w:val="00AC17CF"/>
    <w:rsid w:val="00AC6383"/>
    <w:rsid w:val="00AD561D"/>
    <w:rsid w:val="00AD7AA1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84E6C"/>
    <w:rsid w:val="00C909F0"/>
    <w:rsid w:val="00C9315E"/>
    <w:rsid w:val="00CE759D"/>
    <w:rsid w:val="00D24B0B"/>
    <w:rsid w:val="00D42E47"/>
    <w:rsid w:val="00DB11C4"/>
    <w:rsid w:val="00DB4357"/>
    <w:rsid w:val="00E218D8"/>
    <w:rsid w:val="00E2631E"/>
    <w:rsid w:val="00E345CB"/>
    <w:rsid w:val="00E35DD8"/>
    <w:rsid w:val="00E363EF"/>
    <w:rsid w:val="00E5223D"/>
    <w:rsid w:val="00EA72D4"/>
    <w:rsid w:val="00EE229D"/>
    <w:rsid w:val="00F06031"/>
    <w:rsid w:val="00F0751B"/>
    <w:rsid w:val="00F17B20"/>
    <w:rsid w:val="00F227C1"/>
    <w:rsid w:val="00F27FFD"/>
    <w:rsid w:val="00F30ECC"/>
    <w:rsid w:val="00F5027A"/>
    <w:rsid w:val="00F6392D"/>
    <w:rsid w:val="00F95B71"/>
    <w:rsid w:val="00FA50F0"/>
    <w:rsid w:val="00FB0AD2"/>
    <w:rsid w:val="00FE19A2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7AD0"/>
  <w15:docId w15:val="{54B8598B-F31C-467C-82C7-55DF8875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2CEF-330F-465D-91BA-8300B8B2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User</cp:lastModifiedBy>
  <cp:revision>45</cp:revision>
  <cp:lastPrinted>2024-05-09T08:41:00Z</cp:lastPrinted>
  <dcterms:created xsi:type="dcterms:W3CDTF">2023-04-20T10:07:00Z</dcterms:created>
  <dcterms:modified xsi:type="dcterms:W3CDTF">2024-06-06T09:24:00Z</dcterms:modified>
</cp:coreProperties>
</file>