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E3347F">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E3347F">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E3347F">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3347F">
        <w:rPr>
          <w:rFonts w:ascii="Simplified Arabic" w:hAnsi="Simplified Arabic" w:cs="Simplified Arabic" w:hint="cs"/>
          <w:b/>
          <w:bCs/>
          <w:sz w:val="28"/>
          <w:szCs w:val="28"/>
          <w:u w:val="single"/>
          <w:rtl/>
          <w:lang w:bidi="ar-LB"/>
        </w:rPr>
        <w:t xml:space="preserve">: </w:t>
      </w:r>
      <w:r w:rsidR="00E3347F">
        <w:rPr>
          <w:b/>
          <w:bCs/>
          <w:color w:val="000000"/>
          <w:sz w:val="24"/>
          <w:szCs w:val="24"/>
          <w:rtl/>
        </w:rPr>
        <w:t>توريد</w:t>
      </w:r>
      <w:r w:rsidR="00C67E95" w:rsidRPr="00C67E95">
        <w:rPr>
          <w:rFonts w:hint="cs"/>
          <w:b/>
          <w:bCs/>
          <w:color w:val="000000"/>
          <w:sz w:val="24"/>
          <w:szCs w:val="24"/>
          <w:rtl/>
          <w:lang w:bidi="ar-LB"/>
        </w:rPr>
        <w:t xml:space="preserve"> </w:t>
      </w:r>
      <w:r w:rsidR="00C67E95">
        <w:rPr>
          <w:rFonts w:hint="cs"/>
          <w:b/>
          <w:bCs/>
          <w:color w:val="000000"/>
          <w:sz w:val="24"/>
          <w:szCs w:val="24"/>
          <w:rtl/>
          <w:lang w:bidi="ar-LB"/>
        </w:rPr>
        <w:t>وتركيب</w:t>
      </w:r>
      <w:r w:rsidR="00E3347F">
        <w:rPr>
          <w:b/>
          <w:bCs/>
          <w:color w:val="000000"/>
          <w:sz w:val="24"/>
          <w:szCs w:val="24"/>
          <w:rtl/>
        </w:rPr>
        <w:t xml:space="preserve"> طاقة شمسية لبئر دير نبوح </w:t>
      </w:r>
      <w:r w:rsidR="00E3347F">
        <w:rPr>
          <w:rFonts w:cs="Times New Roman"/>
          <w:b/>
          <w:bCs/>
          <w:color w:val="000000"/>
          <w:sz w:val="24"/>
          <w:szCs w:val="24"/>
          <w:rtl/>
        </w:rPr>
        <w:t>–</w:t>
      </w:r>
      <w:r w:rsidR="00E3347F">
        <w:rPr>
          <w:b/>
          <w:bCs/>
          <w:color w:val="000000"/>
          <w:sz w:val="24"/>
          <w:szCs w:val="24"/>
          <w:rtl/>
        </w:rPr>
        <w:t xml:space="preserve"> بئر سير الضنية (ايزال) </w:t>
      </w:r>
      <w:r w:rsidR="00E3347F">
        <w:rPr>
          <w:rFonts w:cs="Times New Roman"/>
          <w:b/>
          <w:bCs/>
          <w:color w:val="000000"/>
          <w:sz w:val="24"/>
          <w:szCs w:val="24"/>
          <w:rtl/>
        </w:rPr>
        <w:t>–</w:t>
      </w:r>
      <w:r w:rsidR="00E3347F">
        <w:rPr>
          <w:b/>
          <w:bCs/>
          <w:color w:val="000000"/>
          <w:sz w:val="24"/>
          <w:szCs w:val="24"/>
          <w:rtl/>
        </w:rPr>
        <w:t xml:space="preserve"> مستوصف بقاعصفرين</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E3347F">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E3347F">
        <w:rPr>
          <w:rFonts w:ascii="Simplified Arabic" w:hAnsi="Simplified Arabic" w:cs="Simplified Arabic" w:hint="cs"/>
          <w:sz w:val="28"/>
          <w:szCs w:val="28"/>
          <w:rtl/>
          <w:lang w:bidi="ar-LB"/>
        </w:rPr>
        <w:t>100</w:t>
      </w:r>
      <w:r>
        <w:rPr>
          <w:rFonts w:ascii="Simplified Arabic" w:hAnsi="Simplified Arabic" w:cs="Simplified Arabic"/>
          <w:sz w:val="28"/>
          <w:szCs w:val="28"/>
          <w:rtl/>
          <w:lang w:bidi="ar-LB"/>
        </w:rPr>
        <w:t xml:space="preserve">,000,000// ل.ل. فقط </w:t>
      </w:r>
      <w:r w:rsidR="00E3347F">
        <w:rPr>
          <w:rFonts w:ascii="Simplified Arabic" w:hAnsi="Simplified Arabic" w:cs="Simplified Arabic" w:hint="cs"/>
          <w:sz w:val="28"/>
          <w:szCs w:val="28"/>
          <w:rtl/>
          <w:lang w:bidi="ar-LB"/>
        </w:rPr>
        <w:t>مئة</w:t>
      </w:r>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7E23D1" w:rsidRDefault="007E23D1" w:rsidP="007E23D1">
      <w:pPr>
        <w:pStyle w:val="ListParagraph"/>
        <w:numPr>
          <w:ilvl w:val="0"/>
          <w:numId w:val="13"/>
        </w:numPr>
        <w:bidi/>
        <w:spacing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شروط عامة ملحق رقم  4 </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EA3BD7">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EA3BD7">
        <w:rPr>
          <w:rFonts w:asciiTheme="majorBidi" w:hAnsiTheme="majorBidi" w:cstheme="majorBidi" w:hint="cs"/>
          <w:b/>
          <w:bCs/>
          <w:sz w:val="28"/>
          <w:szCs w:val="28"/>
          <w:rtl/>
          <w:lang w:bidi="ar-LB"/>
        </w:rPr>
        <w:t>1000</w:t>
      </w:r>
      <w:r w:rsidRPr="007F77A8">
        <w:rPr>
          <w:rFonts w:asciiTheme="majorBidi" w:hAnsiTheme="majorBidi" w:cstheme="majorBidi" w:hint="cs"/>
          <w:b/>
          <w:bCs/>
          <w:sz w:val="28"/>
          <w:szCs w:val="28"/>
          <w:rtl/>
          <w:lang w:bidi="ar-LB"/>
        </w:rPr>
        <w:t xml:space="preserve">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5A67DF">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5A67DF">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tbl>
      <w:tblPr>
        <w:tblpPr w:leftFromText="180" w:rightFromText="180" w:vertAnchor="page" w:horzAnchor="margin" w:tblpY="2819"/>
        <w:tblW w:w="10696" w:type="dxa"/>
        <w:tblLook w:val="04A0" w:firstRow="1" w:lastRow="0" w:firstColumn="1" w:lastColumn="0" w:noHBand="0" w:noVBand="1"/>
      </w:tblPr>
      <w:tblGrid>
        <w:gridCol w:w="932"/>
        <w:gridCol w:w="9661"/>
        <w:gridCol w:w="687"/>
      </w:tblGrid>
      <w:tr w:rsidR="007E23D1" w:rsidRPr="007E23D1" w:rsidTr="007E23D1">
        <w:trPr>
          <w:trHeight w:val="1239"/>
        </w:trPr>
        <w:tc>
          <w:tcPr>
            <w:tcW w:w="348" w:type="dxa"/>
            <w:tcBorders>
              <w:top w:val="nil"/>
              <w:left w:val="nil"/>
              <w:bottom w:val="nil"/>
              <w:right w:val="nil"/>
            </w:tcBorders>
            <w:shd w:val="clear" w:color="000000" w:fill="595959"/>
            <w:noWrap/>
            <w:vAlign w:val="center"/>
            <w:hideMark/>
          </w:tcPr>
          <w:p w:rsidR="007E23D1" w:rsidRPr="00F17B20" w:rsidRDefault="007E23D1" w:rsidP="007E23D1">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7E23D1" w:rsidRPr="007E23D1" w:rsidRDefault="007E23D1" w:rsidP="007E23D1">
            <w:pPr>
              <w:spacing w:after="0" w:line="240" w:lineRule="auto"/>
              <w:jc w:val="right"/>
              <w:rPr>
                <w:rFonts w:ascii="Calibri" w:eastAsia="Times New Roman" w:hAnsi="Calibri" w:cs="Times New Roman"/>
                <w:b/>
                <w:bCs/>
                <w:color w:val="FFFFFF"/>
              </w:rPr>
            </w:pPr>
            <w:r w:rsidRPr="007E23D1">
              <w:rPr>
                <w:rFonts w:ascii="Calibri" w:eastAsia="Times New Roman" w:hAnsi="Calibri" w:cs="Times New Roman"/>
                <w:b/>
                <w:bCs/>
                <w:color w:val="FFFFFF"/>
              </w:rPr>
              <w:t>1</w:t>
            </w:r>
          </w:p>
        </w:tc>
        <w:tc>
          <w:tcPr>
            <w:tcW w:w="9661"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ind w:left="120"/>
              <w:rPr>
                <w:rFonts w:ascii="Consolas" w:eastAsia="Times New Roman" w:hAnsi="Consolas" w:cs="Consolas"/>
                <w:b/>
                <w:bCs/>
                <w:color w:val="FFFFFF"/>
                <w:sz w:val="24"/>
                <w:szCs w:val="24"/>
              </w:rPr>
            </w:pPr>
            <w:r w:rsidRPr="007E23D1">
              <w:rPr>
                <w:rFonts w:ascii="Consolas" w:eastAsia="Times New Roman" w:hAnsi="Consolas" w:cs="Consolas"/>
                <w:b/>
                <w:bCs/>
                <w:color w:val="FFFFFF"/>
                <w:sz w:val="24"/>
                <w:szCs w:val="24"/>
              </w:rPr>
              <w:t>Gener</w:t>
            </w:r>
            <w:bookmarkStart w:id="0" w:name="_GoBack"/>
            <w:bookmarkEnd w:id="0"/>
            <w:r w:rsidRPr="007E23D1">
              <w:rPr>
                <w:rFonts w:ascii="Consolas" w:eastAsia="Times New Roman" w:hAnsi="Consolas" w:cs="Consolas"/>
                <w:b/>
                <w:bCs/>
                <w:color w:val="FFFFFF"/>
                <w:sz w:val="24"/>
                <w:szCs w:val="24"/>
              </w:rPr>
              <w:t>al Conditions</w:t>
            </w:r>
          </w:p>
        </w:tc>
        <w:tc>
          <w:tcPr>
            <w:tcW w:w="687" w:type="dxa"/>
            <w:tcBorders>
              <w:top w:val="nil"/>
              <w:left w:val="nil"/>
              <w:bottom w:val="nil"/>
              <w:right w:val="nil"/>
            </w:tcBorders>
            <w:shd w:val="clear" w:color="000000" w:fill="595959"/>
            <w:noWrap/>
            <w:vAlign w:val="bottom"/>
            <w:hideMark/>
          </w:tcPr>
          <w:p w:rsidR="007E23D1" w:rsidRPr="007E23D1" w:rsidRDefault="007E23D1" w:rsidP="007E23D1">
            <w:pPr>
              <w:spacing w:after="0" w:line="240" w:lineRule="auto"/>
              <w:rPr>
                <w:rFonts w:ascii="Calibri" w:eastAsia="Times New Roman" w:hAnsi="Calibri" w:cs="Times New Roman"/>
                <w:color w:val="FFFFFF"/>
              </w:rPr>
            </w:pPr>
            <w:r w:rsidRPr="007E23D1">
              <w:rPr>
                <w:rFonts w:ascii="Calibri" w:eastAsia="Times New Roman" w:hAnsi="Calibri" w:cs="Times New Roman"/>
                <w:color w:val="FFFFFF"/>
              </w:rPr>
              <w:t> </w:t>
            </w:r>
          </w:p>
        </w:tc>
      </w:tr>
      <w:tr w:rsidR="007E23D1" w:rsidRPr="007E23D1" w:rsidTr="007E23D1">
        <w:trPr>
          <w:trHeight w:val="1209"/>
        </w:trPr>
        <w:tc>
          <w:tcPr>
            <w:tcW w:w="348"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sz w:val="24"/>
                <w:szCs w:val="24"/>
              </w:rPr>
            </w:pPr>
            <w:r w:rsidRPr="007E23D1">
              <w:rPr>
                <w:rFonts w:ascii="Consolas" w:eastAsia="Times New Roman" w:hAnsi="Consolas" w:cs="Consolas"/>
                <w:color w:val="000000"/>
                <w:sz w:val="24"/>
                <w:szCs w:val="24"/>
              </w:rPr>
              <w:t>The Contractor shall adhere to all the requirements of this RFQ, including any amendments.</w:t>
            </w:r>
          </w:p>
        </w:tc>
        <w:tc>
          <w:tcPr>
            <w:tcW w:w="687"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2176"/>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sz w:val="24"/>
                <w:szCs w:val="24"/>
              </w:rPr>
            </w:pPr>
            <w:r w:rsidRPr="007E23D1">
              <w:rPr>
                <w:rFonts w:ascii="Consolas" w:eastAsia="Times New Roman" w:hAnsi="Consolas" w:cs="Consolas"/>
                <w:color w:val="000000"/>
                <w:sz w:val="24"/>
                <w:szCs w:val="24"/>
              </w:rPr>
              <w:t>The Contractor shall state the manufacturers guarantee on the different components as well as local representation available for service and technical support.</w:t>
            </w: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2214"/>
        </w:trPr>
        <w:tc>
          <w:tcPr>
            <w:tcW w:w="348"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sz w:val="24"/>
                <w:szCs w:val="24"/>
              </w:rPr>
            </w:pPr>
            <w:r w:rsidRPr="007E23D1">
              <w:rPr>
                <w:rFonts w:ascii="Consolas" w:eastAsia="Times New Roman" w:hAnsi="Consolas" w:cs="Consolas"/>
                <w:color w:val="000000"/>
                <w:sz w:val="24"/>
                <w:szCs w:val="24"/>
              </w:rPr>
              <w:t>The Contractor shall secure a team of specialized engineers, technicians and skilled workers qualified to carry out the requested tasks successfully. The number of teams shall be sufficient to carry out the required works within the specified time frame of the contract.</w:t>
            </w:r>
          </w:p>
        </w:tc>
        <w:tc>
          <w:tcPr>
            <w:tcW w:w="687"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1912"/>
        </w:trPr>
        <w:tc>
          <w:tcPr>
            <w:tcW w:w="348"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sz w:val="24"/>
                <w:szCs w:val="24"/>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sz w:val="24"/>
                <w:szCs w:val="24"/>
              </w:rPr>
            </w:pPr>
            <w:r w:rsidRPr="007E23D1">
              <w:rPr>
                <w:rFonts w:ascii="Consolas" w:eastAsia="Times New Roman" w:hAnsi="Consolas" w:cs="Consolas"/>
                <w:color w:val="000000"/>
                <w:sz w:val="24"/>
                <w:szCs w:val="24"/>
              </w:rPr>
              <w:t>The Contractor shall visit the selected site assigned in order to inspect them prior to the installation and to prepare an installation plan to collate the amount of work to be done in each facility.</w:t>
            </w:r>
          </w:p>
        </w:tc>
        <w:tc>
          <w:tcPr>
            <w:tcW w:w="687"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sz w:val="24"/>
                <w:szCs w:val="24"/>
              </w:rPr>
            </w:pPr>
          </w:p>
        </w:tc>
      </w:tr>
      <w:tr w:rsidR="007E23D1" w:rsidRPr="007E23D1" w:rsidTr="007E23D1">
        <w:trPr>
          <w:trHeight w:val="582"/>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983"/>
        </w:trPr>
        <w:tc>
          <w:tcPr>
            <w:tcW w:w="348"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jc w:val="center"/>
              <w:rPr>
                <w:rFonts w:ascii="Calibri" w:eastAsia="Times New Roman" w:hAnsi="Calibri" w:cs="Times New Roman"/>
                <w:b/>
                <w:bCs/>
                <w:color w:val="FFFFFF"/>
                <w:sz w:val="24"/>
                <w:szCs w:val="24"/>
              </w:rPr>
            </w:pPr>
            <w:r w:rsidRPr="007E23D1">
              <w:rPr>
                <w:rFonts w:ascii="Calibri" w:eastAsia="Times New Roman" w:hAnsi="Calibri" w:cs="Times New Roman"/>
                <w:b/>
                <w:bCs/>
                <w:color w:val="FFFFFF"/>
                <w:sz w:val="24"/>
                <w:szCs w:val="24"/>
              </w:rPr>
              <w:t>2</w:t>
            </w:r>
          </w:p>
        </w:tc>
        <w:tc>
          <w:tcPr>
            <w:tcW w:w="9661"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rPr>
                <w:rFonts w:ascii="Consolas" w:eastAsia="Times New Roman" w:hAnsi="Consolas" w:cs="Consolas"/>
                <w:b/>
                <w:bCs/>
                <w:color w:val="FFFFFF"/>
                <w:sz w:val="24"/>
                <w:szCs w:val="24"/>
              </w:rPr>
            </w:pPr>
            <w:r w:rsidRPr="007E23D1">
              <w:rPr>
                <w:rFonts w:ascii="Consolas" w:eastAsia="Times New Roman" w:hAnsi="Consolas" w:cs="Consolas"/>
                <w:b/>
                <w:bCs/>
                <w:color w:val="FFFFFF"/>
                <w:sz w:val="24"/>
                <w:szCs w:val="24"/>
              </w:rPr>
              <w:t>Health and safety plan</w:t>
            </w:r>
          </w:p>
        </w:tc>
        <w:tc>
          <w:tcPr>
            <w:tcW w:w="687" w:type="dxa"/>
            <w:tcBorders>
              <w:top w:val="nil"/>
              <w:left w:val="nil"/>
              <w:bottom w:val="nil"/>
              <w:right w:val="nil"/>
            </w:tcBorders>
            <w:shd w:val="clear" w:color="000000" w:fill="595959"/>
            <w:noWrap/>
            <w:vAlign w:val="bottom"/>
            <w:hideMark/>
          </w:tcPr>
          <w:p w:rsidR="007E23D1" w:rsidRPr="007E23D1" w:rsidRDefault="007E23D1" w:rsidP="007E23D1">
            <w:pPr>
              <w:spacing w:after="0" w:line="240" w:lineRule="auto"/>
              <w:rPr>
                <w:rFonts w:ascii="Calibri" w:eastAsia="Times New Roman" w:hAnsi="Calibri" w:cs="Times New Roman"/>
                <w:color w:val="FFFFFF"/>
                <w:sz w:val="24"/>
                <w:szCs w:val="24"/>
              </w:rPr>
            </w:pPr>
            <w:r w:rsidRPr="007E23D1">
              <w:rPr>
                <w:rFonts w:ascii="Calibri" w:eastAsia="Times New Roman" w:hAnsi="Calibri" w:cs="Times New Roman"/>
                <w:color w:val="FFFFFF"/>
                <w:sz w:val="24"/>
                <w:szCs w:val="24"/>
              </w:rPr>
              <w:t> </w:t>
            </w:r>
          </w:p>
        </w:tc>
      </w:tr>
      <w:tr w:rsidR="007E23D1" w:rsidRPr="007E23D1" w:rsidTr="007E23D1">
        <w:trPr>
          <w:trHeight w:val="2124"/>
        </w:trPr>
        <w:tc>
          <w:tcPr>
            <w:tcW w:w="348"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sz w:val="24"/>
                <w:szCs w:val="24"/>
              </w:rPr>
            </w:pPr>
            <w:r w:rsidRPr="007E23D1">
              <w:rPr>
                <w:rFonts w:ascii="Consolas" w:eastAsia="Times New Roman" w:hAnsi="Consolas" w:cs="Consolas"/>
                <w:color w:val="000000"/>
                <w:sz w:val="24"/>
                <w:szCs w:val="24"/>
              </w:rPr>
              <w:t>The contractor shall propose a health and safety plan and shall abide to this plan all the time during implementation of the project. As well, it is the contractor responsibility to take all precautions to ensure that no hazards or incidents might occur on site for the complete safety of the workers.</w:t>
            </w:r>
          </w:p>
        </w:tc>
        <w:tc>
          <w:tcPr>
            <w:tcW w:w="687"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604"/>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876"/>
        </w:trPr>
        <w:tc>
          <w:tcPr>
            <w:tcW w:w="348" w:type="dxa"/>
            <w:tcBorders>
              <w:top w:val="nil"/>
              <w:left w:val="nil"/>
              <w:bottom w:val="nil"/>
              <w:right w:val="nil"/>
            </w:tcBorders>
            <w:shd w:val="clear" w:color="000000" w:fill="595959"/>
            <w:noWrap/>
            <w:vAlign w:val="bottom"/>
            <w:hideMark/>
          </w:tcPr>
          <w:p w:rsidR="007E23D1" w:rsidRPr="007E23D1" w:rsidRDefault="007E23D1" w:rsidP="007E23D1">
            <w:pPr>
              <w:spacing w:after="0" w:line="240" w:lineRule="auto"/>
              <w:jc w:val="center"/>
              <w:rPr>
                <w:rFonts w:ascii="Calibri" w:eastAsia="Times New Roman" w:hAnsi="Calibri" w:cs="Times New Roman"/>
                <w:b/>
                <w:bCs/>
                <w:color w:val="FFFFFF"/>
                <w:sz w:val="24"/>
                <w:szCs w:val="24"/>
              </w:rPr>
            </w:pPr>
            <w:r w:rsidRPr="007E23D1">
              <w:rPr>
                <w:rFonts w:ascii="Calibri" w:eastAsia="Times New Roman" w:hAnsi="Calibri" w:cs="Times New Roman"/>
                <w:b/>
                <w:bCs/>
                <w:color w:val="FFFFFF"/>
                <w:sz w:val="24"/>
                <w:szCs w:val="24"/>
              </w:rPr>
              <w:lastRenderedPageBreak/>
              <w:t>3</w:t>
            </w:r>
          </w:p>
        </w:tc>
        <w:tc>
          <w:tcPr>
            <w:tcW w:w="9661"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rPr>
                <w:rFonts w:ascii="Consolas" w:eastAsia="Times New Roman" w:hAnsi="Consolas" w:cs="Consolas"/>
                <w:b/>
                <w:bCs/>
                <w:color w:val="FFFFFF"/>
                <w:sz w:val="24"/>
                <w:szCs w:val="24"/>
              </w:rPr>
            </w:pPr>
            <w:r w:rsidRPr="007E23D1">
              <w:rPr>
                <w:rFonts w:ascii="Consolas" w:eastAsia="Times New Roman" w:hAnsi="Consolas" w:cs="Consolas"/>
                <w:b/>
                <w:bCs/>
                <w:color w:val="FFFFFF"/>
                <w:sz w:val="24"/>
                <w:szCs w:val="24"/>
              </w:rPr>
              <w:t>Guarantees</w:t>
            </w:r>
          </w:p>
        </w:tc>
        <w:tc>
          <w:tcPr>
            <w:tcW w:w="687" w:type="dxa"/>
            <w:tcBorders>
              <w:top w:val="nil"/>
              <w:left w:val="nil"/>
              <w:bottom w:val="nil"/>
              <w:right w:val="nil"/>
            </w:tcBorders>
            <w:shd w:val="clear" w:color="000000" w:fill="595959"/>
            <w:noWrap/>
            <w:vAlign w:val="bottom"/>
            <w:hideMark/>
          </w:tcPr>
          <w:p w:rsidR="007E23D1" w:rsidRPr="007E23D1" w:rsidRDefault="007E23D1" w:rsidP="007E23D1">
            <w:pPr>
              <w:spacing w:after="0" w:line="240" w:lineRule="auto"/>
              <w:rPr>
                <w:rFonts w:ascii="Calibri" w:eastAsia="Times New Roman" w:hAnsi="Calibri" w:cs="Times New Roman"/>
                <w:color w:val="FFFFFF"/>
              </w:rPr>
            </w:pPr>
            <w:r w:rsidRPr="007E23D1">
              <w:rPr>
                <w:rFonts w:ascii="Calibri" w:eastAsia="Times New Roman" w:hAnsi="Calibri" w:cs="Times New Roman"/>
                <w:color w:val="FFFFFF"/>
              </w:rPr>
              <w:t> </w:t>
            </w:r>
          </w:p>
        </w:tc>
      </w:tr>
      <w:tr w:rsidR="007E23D1" w:rsidRPr="007E23D1" w:rsidTr="007E23D1">
        <w:trPr>
          <w:trHeight w:val="2849"/>
        </w:trPr>
        <w:tc>
          <w:tcPr>
            <w:tcW w:w="348"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sz w:val="24"/>
                <w:szCs w:val="24"/>
              </w:rPr>
            </w:pPr>
            <w:r w:rsidRPr="007E23D1">
              <w:rPr>
                <w:rFonts w:ascii="Consolas" w:eastAsia="Times New Roman" w:hAnsi="Consolas" w:cs="Consolas"/>
                <w:color w:val="000000"/>
                <w:sz w:val="24"/>
                <w:szCs w:val="24"/>
              </w:rPr>
              <w:t>The supplied installations shall be tested, commissioned, and handed over complete and in perfect operating condition and shall be covered under a defect’s liability (parts and labor) for a  minimum  period of 12  months  from  the  date of  commissioning.  This warranty covers all manufacturer / work-person-ship defects only.</w:t>
            </w:r>
          </w:p>
        </w:tc>
        <w:tc>
          <w:tcPr>
            <w:tcW w:w="687"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604"/>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846"/>
        </w:trPr>
        <w:tc>
          <w:tcPr>
            <w:tcW w:w="348"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sz w:val="24"/>
                <w:szCs w:val="24"/>
              </w:rPr>
            </w:pPr>
            <w:r w:rsidRPr="007E23D1">
              <w:rPr>
                <w:rFonts w:ascii="Consolas" w:eastAsia="Times New Roman" w:hAnsi="Consolas" w:cs="Consolas"/>
                <w:color w:val="000000"/>
                <w:sz w:val="24"/>
                <w:szCs w:val="24"/>
              </w:rPr>
              <w:t>Manufacturers’ warranties for the main components</w:t>
            </w:r>
          </w:p>
        </w:tc>
        <w:tc>
          <w:tcPr>
            <w:tcW w:w="687"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1566"/>
        </w:trPr>
        <w:tc>
          <w:tcPr>
            <w:tcW w:w="348"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PV Modules: overall 25 years of which 10 years on material and manufacturing faults and 25 years 80% power output warranty</w:t>
            </w:r>
          </w:p>
        </w:tc>
        <w:tc>
          <w:tcPr>
            <w:tcW w:w="687"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876"/>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Hybrid inverters: 5 years</w:t>
            </w: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931"/>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Batteries and BMS: 5 years</w:t>
            </w: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945"/>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other electronic equipment: 2 years</w:t>
            </w: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846"/>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Mounting structure: 10 years for Corrugated roof –mount and flat roof structure</w:t>
            </w: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780"/>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onsolas" w:eastAsia="Times New Roman" w:hAnsi="Consolas" w:cs="Consolas"/>
                <w:color w:val="000000"/>
              </w:rPr>
            </w:pPr>
          </w:p>
        </w:tc>
        <w:tc>
          <w:tcPr>
            <w:tcW w:w="9661" w:type="dxa"/>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Hybrid Solar Pump Inverter 2 years</w:t>
            </w: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onsolas" w:eastAsia="Times New Roman" w:hAnsi="Consolas" w:cs="Consolas"/>
                <w:color w:val="000000"/>
              </w:rPr>
            </w:pPr>
          </w:p>
        </w:tc>
      </w:tr>
      <w:tr w:rsidR="007E23D1" w:rsidRPr="007E23D1" w:rsidTr="007E23D1">
        <w:trPr>
          <w:trHeight w:val="1670"/>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Submittals for all components to be installed including datasheets and required certificates; A description of the proposed performance testing procedure; A letter certifying requirements on warranties.</w:t>
            </w: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961"/>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9661" w:type="dxa"/>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rPr>
            </w:pPr>
          </w:p>
        </w:tc>
        <w:tc>
          <w:tcPr>
            <w:tcW w:w="687"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931"/>
        </w:trPr>
        <w:tc>
          <w:tcPr>
            <w:tcW w:w="348"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jc w:val="center"/>
              <w:rPr>
                <w:rFonts w:ascii="Calibri" w:eastAsia="Times New Roman" w:hAnsi="Calibri" w:cs="Times New Roman"/>
                <w:b/>
                <w:bCs/>
                <w:color w:val="FFFFFF"/>
                <w:sz w:val="24"/>
                <w:szCs w:val="24"/>
              </w:rPr>
            </w:pPr>
            <w:r w:rsidRPr="007E23D1">
              <w:rPr>
                <w:rFonts w:ascii="Calibri" w:eastAsia="Times New Roman" w:hAnsi="Calibri" w:cs="Times New Roman"/>
                <w:b/>
                <w:bCs/>
                <w:color w:val="FFFFFF"/>
                <w:sz w:val="24"/>
                <w:szCs w:val="24"/>
              </w:rPr>
              <w:lastRenderedPageBreak/>
              <w:t>4</w:t>
            </w:r>
          </w:p>
        </w:tc>
        <w:tc>
          <w:tcPr>
            <w:tcW w:w="9661"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rPr>
                <w:rFonts w:ascii="Consolas" w:eastAsia="Times New Roman" w:hAnsi="Consolas" w:cs="Consolas"/>
                <w:b/>
                <w:bCs/>
                <w:color w:val="FFFFFF"/>
                <w:sz w:val="24"/>
                <w:szCs w:val="24"/>
              </w:rPr>
            </w:pPr>
            <w:r w:rsidRPr="007E23D1">
              <w:rPr>
                <w:rFonts w:ascii="Consolas" w:eastAsia="Times New Roman" w:hAnsi="Consolas" w:cs="Consolas"/>
                <w:b/>
                <w:bCs/>
                <w:color w:val="FFFFFF"/>
                <w:sz w:val="24"/>
                <w:szCs w:val="24"/>
              </w:rPr>
              <w:t>Detailed Planned Schedule of works</w:t>
            </w:r>
          </w:p>
        </w:tc>
        <w:tc>
          <w:tcPr>
            <w:tcW w:w="687" w:type="dxa"/>
            <w:tcBorders>
              <w:top w:val="nil"/>
              <w:left w:val="nil"/>
              <w:bottom w:val="nil"/>
              <w:right w:val="nil"/>
            </w:tcBorders>
            <w:shd w:val="clear" w:color="000000" w:fill="595959"/>
            <w:noWrap/>
            <w:vAlign w:val="bottom"/>
            <w:hideMark/>
          </w:tcPr>
          <w:p w:rsidR="007E23D1" w:rsidRPr="007E23D1" w:rsidRDefault="007E23D1" w:rsidP="007E23D1">
            <w:pPr>
              <w:spacing w:after="0" w:line="240" w:lineRule="auto"/>
              <w:rPr>
                <w:rFonts w:ascii="Calibri" w:eastAsia="Times New Roman" w:hAnsi="Calibri" w:cs="Times New Roman"/>
                <w:color w:val="FFFFFF"/>
              </w:rPr>
            </w:pPr>
            <w:r w:rsidRPr="007E23D1">
              <w:rPr>
                <w:rFonts w:ascii="Calibri" w:eastAsia="Times New Roman" w:hAnsi="Calibri" w:cs="Times New Roman"/>
                <w:color w:val="FFFFFF"/>
              </w:rPr>
              <w:t> </w:t>
            </w:r>
          </w:p>
        </w:tc>
      </w:tr>
      <w:tr w:rsidR="007E23D1" w:rsidRPr="007E23D1" w:rsidTr="007E23D1">
        <w:trPr>
          <w:trHeight w:val="2140"/>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10348" w:type="dxa"/>
            <w:gridSpan w:val="2"/>
            <w:tcBorders>
              <w:top w:val="nil"/>
              <w:left w:val="nil"/>
              <w:bottom w:val="nil"/>
              <w:right w:val="nil"/>
            </w:tcBorders>
            <w:shd w:val="clear" w:color="auto" w:fill="auto"/>
            <w:vAlign w:val="center"/>
            <w:hideMark/>
          </w:tcPr>
          <w:p w:rsidR="007E23D1" w:rsidRPr="007E23D1" w:rsidRDefault="007E23D1" w:rsidP="007E23D1">
            <w:pPr>
              <w:spacing w:after="0" w:line="240" w:lineRule="auto"/>
              <w:rPr>
                <w:rFonts w:ascii="Consolas" w:eastAsia="Times New Roman" w:hAnsi="Consolas" w:cs="Consolas"/>
                <w:color w:val="000000"/>
              </w:rPr>
            </w:pPr>
            <w:proofErr w:type="gramStart"/>
            <w:r w:rsidRPr="007E23D1">
              <w:rPr>
                <w:rFonts w:ascii="Consolas" w:eastAsia="Times New Roman" w:hAnsi="Consolas" w:cs="Consolas"/>
                <w:color w:val="000000"/>
              </w:rPr>
              <w:t>insurances</w:t>
            </w:r>
            <w:proofErr w:type="gramEnd"/>
            <w:r w:rsidRPr="007E23D1">
              <w:rPr>
                <w:rFonts w:ascii="Consolas" w:eastAsia="Times New Roman" w:hAnsi="Consolas" w:cs="Consolas"/>
                <w:color w:val="000000"/>
              </w:rPr>
              <w:t xml:space="preserve">, All shop drawings showing single line diagram, including electrical, civil works and calculations (wind load for structures), simulations done (in </w:t>
            </w:r>
            <w:proofErr w:type="spellStart"/>
            <w:r w:rsidRPr="007E23D1">
              <w:rPr>
                <w:rFonts w:ascii="Consolas" w:eastAsia="Times New Roman" w:hAnsi="Consolas" w:cs="Consolas"/>
                <w:color w:val="000000"/>
              </w:rPr>
              <w:t>PVSyst</w:t>
            </w:r>
            <w:proofErr w:type="spellEnd"/>
            <w:r w:rsidRPr="007E23D1">
              <w:rPr>
                <w:rFonts w:ascii="Consolas" w:eastAsia="Times New Roman" w:hAnsi="Consolas" w:cs="Consolas"/>
                <w:color w:val="000000"/>
              </w:rPr>
              <w:t xml:space="preserve"> or similar) to calculate the energy output and energy losses due to any shading effect (obstacles, inter-row spacing, etc..)</w:t>
            </w:r>
          </w:p>
        </w:tc>
      </w:tr>
      <w:tr w:rsidR="007E23D1" w:rsidRPr="007E23D1" w:rsidTr="007E23D1">
        <w:trPr>
          <w:trHeight w:val="810"/>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10348" w:type="dxa"/>
            <w:gridSpan w:val="2"/>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876"/>
        </w:trPr>
        <w:tc>
          <w:tcPr>
            <w:tcW w:w="348"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jc w:val="center"/>
              <w:rPr>
                <w:rFonts w:ascii="Calibri" w:eastAsia="Times New Roman" w:hAnsi="Calibri" w:cs="Times New Roman"/>
                <w:b/>
                <w:bCs/>
                <w:color w:val="FFFFFF"/>
                <w:sz w:val="24"/>
                <w:szCs w:val="24"/>
              </w:rPr>
            </w:pPr>
            <w:r w:rsidRPr="007E23D1">
              <w:rPr>
                <w:rFonts w:ascii="Calibri" w:eastAsia="Times New Roman" w:hAnsi="Calibri" w:cs="Times New Roman"/>
                <w:b/>
                <w:bCs/>
                <w:color w:val="FFFFFF"/>
                <w:sz w:val="24"/>
                <w:szCs w:val="24"/>
              </w:rPr>
              <w:t>5</w:t>
            </w:r>
          </w:p>
        </w:tc>
        <w:tc>
          <w:tcPr>
            <w:tcW w:w="10348" w:type="dxa"/>
            <w:gridSpan w:val="2"/>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rPr>
                <w:rFonts w:ascii="Consolas" w:eastAsia="Times New Roman" w:hAnsi="Consolas" w:cs="Consolas"/>
                <w:b/>
                <w:bCs/>
                <w:color w:val="FFFFFF"/>
                <w:sz w:val="24"/>
                <w:szCs w:val="24"/>
              </w:rPr>
            </w:pPr>
            <w:r w:rsidRPr="007E23D1">
              <w:rPr>
                <w:rFonts w:ascii="Consolas" w:eastAsia="Times New Roman" w:hAnsi="Consolas" w:cs="Consolas"/>
                <w:b/>
                <w:bCs/>
                <w:color w:val="FFFFFF"/>
                <w:sz w:val="24"/>
                <w:szCs w:val="24"/>
              </w:rPr>
              <w:t>Currency of Quotation</w:t>
            </w:r>
          </w:p>
        </w:tc>
      </w:tr>
      <w:tr w:rsidR="007E23D1" w:rsidRPr="007E23D1" w:rsidTr="007E23D1">
        <w:trPr>
          <w:trHeight w:val="1118"/>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10348" w:type="dxa"/>
            <w:gridSpan w:val="2"/>
            <w:tcBorders>
              <w:top w:val="nil"/>
              <w:left w:val="nil"/>
              <w:bottom w:val="nil"/>
              <w:right w:val="nil"/>
            </w:tcBorders>
            <w:shd w:val="clear" w:color="auto" w:fill="auto"/>
            <w:noWrap/>
            <w:vAlign w:val="center"/>
            <w:hideMark/>
          </w:tcPr>
          <w:p w:rsidR="007E23D1" w:rsidRPr="007E23D1" w:rsidRDefault="007E23D1" w:rsidP="007E23D1">
            <w:pPr>
              <w:spacing w:after="0" w:line="240" w:lineRule="auto"/>
              <w:rPr>
                <w:rFonts w:ascii="Consolas" w:eastAsia="Times New Roman" w:hAnsi="Consolas" w:cs="Consolas"/>
                <w:color w:val="000000"/>
              </w:rPr>
            </w:pPr>
            <w:r w:rsidRPr="007E23D1">
              <w:rPr>
                <w:rFonts w:ascii="Consolas" w:eastAsia="Times New Roman" w:hAnsi="Consolas" w:cs="Consolas"/>
                <w:color w:val="000000"/>
              </w:rPr>
              <w:t>Quotations shall be quoted in LBP</w:t>
            </w:r>
          </w:p>
        </w:tc>
      </w:tr>
      <w:tr w:rsidR="007E23D1" w:rsidRPr="007E23D1" w:rsidTr="007E23D1">
        <w:trPr>
          <w:trHeight w:val="824"/>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10348" w:type="dxa"/>
            <w:gridSpan w:val="2"/>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r>
      <w:tr w:rsidR="007E23D1" w:rsidRPr="007E23D1" w:rsidTr="007E23D1">
        <w:trPr>
          <w:trHeight w:val="1005"/>
        </w:trPr>
        <w:tc>
          <w:tcPr>
            <w:tcW w:w="348" w:type="dxa"/>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jc w:val="center"/>
              <w:rPr>
                <w:rFonts w:ascii="Consolas" w:eastAsia="Times New Roman" w:hAnsi="Consolas" w:cs="Consolas"/>
                <w:b/>
                <w:bCs/>
                <w:color w:val="FFFFFF"/>
                <w:sz w:val="24"/>
                <w:szCs w:val="24"/>
              </w:rPr>
            </w:pPr>
            <w:r w:rsidRPr="007E23D1">
              <w:rPr>
                <w:rFonts w:ascii="Consolas" w:eastAsia="Times New Roman" w:hAnsi="Consolas" w:cs="Consolas"/>
                <w:b/>
                <w:bCs/>
                <w:color w:val="FFFFFF"/>
                <w:sz w:val="24"/>
                <w:szCs w:val="24"/>
              </w:rPr>
              <w:t>6</w:t>
            </w:r>
          </w:p>
        </w:tc>
        <w:tc>
          <w:tcPr>
            <w:tcW w:w="10348" w:type="dxa"/>
            <w:gridSpan w:val="2"/>
            <w:tcBorders>
              <w:top w:val="nil"/>
              <w:left w:val="nil"/>
              <w:bottom w:val="nil"/>
              <w:right w:val="nil"/>
            </w:tcBorders>
            <w:shd w:val="clear" w:color="000000" w:fill="595959"/>
            <w:noWrap/>
            <w:vAlign w:val="center"/>
            <w:hideMark/>
          </w:tcPr>
          <w:p w:rsidR="007E23D1" w:rsidRPr="007E23D1" w:rsidRDefault="007E23D1" w:rsidP="007E23D1">
            <w:pPr>
              <w:spacing w:after="0" w:line="240" w:lineRule="auto"/>
              <w:rPr>
                <w:rFonts w:ascii="Consolas" w:eastAsia="Times New Roman" w:hAnsi="Consolas" w:cs="Consolas"/>
                <w:b/>
                <w:bCs/>
                <w:color w:val="FFFFFF"/>
                <w:sz w:val="24"/>
                <w:szCs w:val="24"/>
              </w:rPr>
            </w:pPr>
            <w:r w:rsidRPr="007E23D1">
              <w:rPr>
                <w:rFonts w:ascii="Consolas" w:eastAsia="Times New Roman" w:hAnsi="Consolas" w:cs="Consolas"/>
                <w:b/>
                <w:bCs/>
                <w:color w:val="FFFFFF"/>
                <w:sz w:val="24"/>
                <w:szCs w:val="24"/>
              </w:rPr>
              <w:t>Expected duration of contract</w:t>
            </w:r>
          </w:p>
        </w:tc>
      </w:tr>
      <w:tr w:rsidR="007E23D1" w:rsidRPr="007E23D1" w:rsidTr="007E23D1">
        <w:trPr>
          <w:trHeight w:val="1088"/>
        </w:trPr>
        <w:tc>
          <w:tcPr>
            <w:tcW w:w="348" w:type="dxa"/>
            <w:tcBorders>
              <w:top w:val="nil"/>
              <w:left w:val="nil"/>
              <w:bottom w:val="nil"/>
              <w:right w:val="nil"/>
            </w:tcBorders>
            <w:shd w:val="clear" w:color="auto" w:fill="auto"/>
            <w:noWrap/>
            <w:vAlign w:val="bottom"/>
            <w:hideMark/>
          </w:tcPr>
          <w:p w:rsidR="007E23D1" w:rsidRPr="007E23D1" w:rsidRDefault="007E23D1" w:rsidP="007E23D1">
            <w:pPr>
              <w:spacing w:after="0" w:line="240" w:lineRule="auto"/>
              <w:rPr>
                <w:rFonts w:ascii="Calibri" w:eastAsia="Times New Roman" w:hAnsi="Calibri" w:cs="Times New Roman"/>
                <w:color w:val="000000"/>
              </w:rPr>
            </w:pPr>
          </w:p>
        </w:tc>
        <w:tc>
          <w:tcPr>
            <w:tcW w:w="10348" w:type="dxa"/>
            <w:gridSpan w:val="2"/>
            <w:tcBorders>
              <w:top w:val="nil"/>
              <w:left w:val="nil"/>
              <w:bottom w:val="nil"/>
              <w:right w:val="nil"/>
            </w:tcBorders>
            <w:shd w:val="clear" w:color="auto" w:fill="auto"/>
            <w:noWrap/>
            <w:vAlign w:val="center"/>
            <w:hideMark/>
          </w:tcPr>
          <w:p w:rsidR="007E23D1" w:rsidRPr="007E23D1" w:rsidRDefault="007E23D1" w:rsidP="007E23D1">
            <w:pPr>
              <w:spacing w:after="0" w:line="240" w:lineRule="auto"/>
              <w:ind w:right="2456"/>
              <w:rPr>
                <w:rFonts w:ascii="Consolas" w:eastAsia="Times New Roman" w:hAnsi="Consolas" w:cs="Consolas"/>
                <w:color w:val="000000"/>
              </w:rPr>
            </w:pPr>
            <w:r w:rsidRPr="007E23D1">
              <w:rPr>
                <w:rFonts w:ascii="Consolas" w:eastAsia="Times New Roman" w:hAnsi="Consolas" w:cs="Consolas"/>
                <w:color w:val="000000"/>
              </w:rPr>
              <w:t>One month from contract signature</w:t>
            </w:r>
          </w:p>
        </w:tc>
      </w:tr>
    </w:tbl>
    <w:p w:rsidR="004007CA" w:rsidRPr="007E23D1"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7E23D1"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1F" w:rsidRDefault="000C721F" w:rsidP="00C06828">
      <w:pPr>
        <w:spacing w:after="0" w:line="240" w:lineRule="auto"/>
      </w:pPr>
      <w:r>
        <w:separator/>
      </w:r>
    </w:p>
  </w:endnote>
  <w:endnote w:type="continuationSeparator" w:id="0">
    <w:p w:rsidR="000C721F" w:rsidRDefault="000C721F"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1F" w:rsidRDefault="000C721F" w:rsidP="00C06828">
      <w:pPr>
        <w:spacing w:after="0" w:line="240" w:lineRule="auto"/>
      </w:pPr>
      <w:r>
        <w:separator/>
      </w:r>
    </w:p>
  </w:footnote>
  <w:footnote w:type="continuationSeparator" w:id="0">
    <w:p w:rsidR="000C721F" w:rsidRDefault="000C721F" w:rsidP="00C06828">
      <w:pPr>
        <w:spacing w:after="0" w:line="240" w:lineRule="auto"/>
      </w:pPr>
      <w:r>
        <w:continuationSeparator/>
      </w:r>
    </w:p>
  </w:footnote>
  <w:footnote w:id="1">
    <w:p w:rsidR="007E23D1" w:rsidRDefault="007E23D1" w:rsidP="004007CA">
      <w:pPr>
        <w:pBdr>
          <w:top w:val="nil"/>
          <w:left w:val="nil"/>
          <w:bottom w:val="nil"/>
          <w:right w:val="nil"/>
          <w:between w:val="nil"/>
        </w:pBdr>
        <w:rPr>
          <w:rFonts w:ascii="Calibri" w:eastAsia="Calibri" w:hAnsi="Calibri" w:cs="Calibri" w:hint="cs"/>
          <w:color w:val="000000"/>
          <w:sz w:val="20"/>
          <w:szCs w:val="20"/>
          <w:rtl/>
        </w:rPr>
      </w:pPr>
    </w:p>
    <w:p w:rsidR="007E23D1" w:rsidRDefault="007E23D1" w:rsidP="004007CA">
      <w:pPr>
        <w:pBdr>
          <w:top w:val="nil"/>
          <w:left w:val="nil"/>
          <w:bottom w:val="nil"/>
          <w:right w:val="nil"/>
          <w:between w:val="nil"/>
        </w:pBdr>
        <w:rPr>
          <w:rFonts w:ascii="Calibri" w:eastAsia="Calibri" w:hAnsi="Calibri" w:cs="Calibri" w:hint="cs"/>
          <w:color w:val="000000"/>
          <w:sz w:val="20"/>
          <w:szCs w:val="20"/>
          <w:rtl/>
        </w:rPr>
      </w:pPr>
    </w:p>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C721F"/>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C6AA4"/>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0CCC"/>
    <w:rsid w:val="003342BB"/>
    <w:rsid w:val="00341ECB"/>
    <w:rsid w:val="0034303E"/>
    <w:rsid w:val="00352DF2"/>
    <w:rsid w:val="00355FE6"/>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07370"/>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67DF"/>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23D1"/>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D7494"/>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010D"/>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67E95"/>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347F"/>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557009657">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C73B-5246-4683-B4CB-3EFFEE4C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21</cp:revision>
  <cp:lastPrinted>2023-08-24T10:46:00Z</cp:lastPrinted>
  <dcterms:created xsi:type="dcterms:W3CDTF">2023-04-20T10:08:00Z</dcterms:created>
  <dcterms:modified xsi:type="dcterms:W3CDTF">2023-09-28T08:54:00Z</dcterms:modified>
</cp:coreProperties>
</file>