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BD2" w:rsidRPr="00206620" w:rsidRDefault="00232BD2" w:rsidP="00232BD2">
      <w:pPr>
        <w:pStyle w:val="Header"/>
        <w:tabs>
          <w:tab w:val="clear" w:pos="4153"/>
          <w:tab w:val="right" w:pos="3420"/>
        </w:tabs>
        <w:bidi w:val="0"/>
        <w:rPr>
          <w:rFonts w:asciiTheme="majorBidi" w:hAnsiTheme="majorBidi" w:cstheme="majorBidi"/>
          <w:sz w:val="22"/>
          <w:szCs w:val="22"/>
          <w:lang w:eastAsia="ar-SA"/>
        </w:rPr>
      </w:pPr>
      <w:r w:rsidRPr="00206620">
        <w:rPr>
          <w:rFonts w:asciiTheme="majorBidi" w:hAnsiTheme="majorBidi" w:cstheme="majorBidi"/>
          <w:noProof/>
          <w:sz w:val="22"/>
          <w:szCs w:val="22"/>
        </w:rPr>
        <w:drawing>
          <wp:anchor distT="0" distB="0" distL="114300" distR="114300" simplePos="0" relativeHeight="251659264" behindDoc="1" locked="0" layoutInCell="1" allowOverlap="1">
            <wp:simplePos x="0" y="0"/>
            <wp:positionH relativeFrom="column">
              <wp:posOffset>7302500</wp:posOffset>
            </wp:positionH>
            <wp:positionV relativeFrom="paragraph">
              <wp:posOffset>-114300</wp:posOffset>
            </wp:positionV>
            <wp:extent cx="2266950" cy="504825"/>
            <wp:effectExtent l="0" t="0" r="0" b="9525"/>
            <wp:wrapNone/>
            <wp:docPr id="1" name="Picture 1" descr="HeaderSecond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SecondPag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0" cy="504825"/>
                    </a:xfrm>
                    <a:prstGeom prst="rect">
                      <a:avLst/>
                    </a:prstGeom>
                    <a:noFill/>
                  </pic:spPr>
                </pic:pic>
              </a:graphicData>
            </a:graphic>
            <wp14:sizeRelH relativeFrom="page">
              <wp14:pctWidth>0</wp14:pctWidth>
            </wp14:sizeRelH>
            <wp14:sizeRelV relativeFrom="page">
              <wp14:pctHeight>0</wp14:pctHeight>
            </wp14:sizeRelV>
          </wp:anchor>
        </w:drawing>
      </w:r>
    </w:p>
    <w:p w:rsidR="0062765C" w:rsidRPr="00206620" w:rsidRDefault="0062765C" w:rsidP="0062765C">
      <w:pPr>
        <w:bidi w:val="0"/>
        <w:jc w:val="both"/>
        <w:rPr>
          <w:rFonts w:asciiTheme="majorBidi" w:hAnsiTheme="majorBidi" w:cstheme="majorBidi"/>
          <w:sz w:val="22"/>
          <w:szCs w:val="22"/>
          <w:lang w:eastAsia="ar-SA" w:bidi="ar-LB"/>
        </w:rPr>
      </w:pPr>
    </w:p>
    <w:p w:rsidR="00850102" w:rsidRPr="00206620" w:rsidRDefault="00850102" w:rsidP="0062765C">
      <w:pPr>
        <w:jc w:val="center"/>
        <w:rPr>
          <w:rFonts w:cs="Times New Roman"/>
          <w:b/>
          <w:bCs/>
          <w:sz w:val="22"/>
          <w:szCs w:val="22"/>
          <w:u w:val="single"/>
          <w:lang w:bidi="ar-LB"/>
        </w:rPr>
      </w:pPr>
    </w:p>
    <w:p w:rsidR="001715E4" w:rsidRDefault="001715E4" w:rsidP="001715E4">
      <w:pPr>
        <w:pStyle w:val="Header"/>
        <w:tabs>
          <w:tab w:val="clear" w:pos="4153"/>
          <w:tab w:val="right" w:pos="3420"/>
        </w:tabs>
        <w:jc w:val="center"/>
        <w:rPr>
          <w:rFonts w:cs="Arabic Transparent"/>
          <w:b/>
          <w:bCs/>
          <w:sz w:val="28"/>
          <w:szCs w:val="28"/>
          <w:u w:val="single"/>
          <w:rtl/>
        </w:rPr>
      </w:pPr>
      <w:r w:rsidRPr="00A44DE0">
        <w:rPr>
          <w:rFonts w:cs="Arabic Transparent"/>
          <w:b/>
          <w:bCs/>
          <w:sz w:val="28"/>
          <w:szCs w:val="28"/>
          <w:u w:val="single"/>
          <w:rtl/>
        </w:rPr>
        <w:t>الجمهورية اللبنانية</w:t>
      </w:r>
    </w:p>
    <w:p w:rsidR="001715E4" w:rsidRPr="00A44DE0" w:rsidRDefault="001715E4" w:rsidP="001715E4">
      <w:pPr>
        <w:pStyle w:val="Header"/>
        <w:tabs>
          <w:tab w:val="clear" w:pos="4153"/>
          <w:tab w:val="right" w:pos="3420"/>
        </w:tabs>
        <w:jc w:val="center"/>
        <w:rPr>
          <w:rFonts w:cs="Arabic Transparent"/>
          <w:b/>
          <w:bCs/>
          <w:sz w:val="28"/>
          <w:szCs w:val="28"/>
          <w:u w:val="single"/>
          <w:rtl/>
        </w:rPr>
      </w:pPr>
    </w:p>
    <w:p w:rsidR="001715E4" w:rsidRPr="00A44DE0" w:rsidRDefault="001715E4" w:rsidP="001715E4">
      <w:pPr>
        <w:pStyle w:val="Header"/>
        <w:tabs>
          <w:tab w:val="clear" w:pos="4153"/>
          <w:tab w:val="right" w:pos="3420"/>
        </w:tabs>
        <w:bidi w:val="0"/>
        <w:jc w:val="center"/>
        <w:rPr>
          <w:rFonts w:cs="Arabic Transparent"/>
          <w:b/>
          <w:bCs/>
          <w:sz w:val="28"/>
          <w:szCs w:val="28"/>
          <w:u w:val="single"/>
          <w:rtl/>
        </w:rPr>
      </w:pPr>
      <w:r w:rsidRPr="00A44DE0">
        <w:rPr>
          <w:rFonts w:cs="Arabic Transparent"/>
          <w:b/>
          <w:bCs/>
          <w:sz w:val="28"/>
          <w:szCs w:val="28"/>
          <w:u w:val="single"/>
          <w:rtl/>
        </w:rPr>
        <w:t>مجلس الإنماء والإعمار</w:t>
      </w:r>
    </w:p>
    <w:p w:rsidR="001715E4" w:rsidRPr="00A44DE0" w:rsidRDefault="001715E4" w:rsidP="001715E4">
      <w:pPr>
        <w:pStyle w:val="Header"/>
        <w:tabs>
          <w:tab w:val="clear" w:pos="4153"/>
          <w:tab w:val="right" w:pos="3420"/>
        </w:tabs>
        <w:bidi w:val="0"/>
        <w:jc w:val="center"/>
        <w:rPr>
          <w:rFonts w:cs="Arabic Transparent"/>
          <w:b/>
          <w:bCs/>
          <w:sz w:val="28"/>
          <w:szCs w:val="28"/>
          <w:u w:val="single"/>
          <w:rtl/>
        </w:rPr>
      </w:pPr>
    </w:p>
    <w:p w:rsidR="001715E4" w:rsidRPr="00A44DE0" w:rsidRDefault="001715E4" w:rsidP="001715E4">
      <w:pPr>
        <w:pStyle w:val="Header"/>
        <w:tabs>
          <w:tab w:val="clear" w:pos="4153"/>
          <w:tab w:val="right" w:pos="3420"/>
        </w:tabs>
        <w:bidi w:val="0"/>
        <w:jc w:val="center"/>
        <w:rPr>
          <w:rFonts w:cs="Arabic Transparent"/>
          <w:b/>
          <w:bCs/>
          <w:sz w:val="28"/>
          <w:szCs w:val="28"/>
          <w:u w:val="single"/>
          <w:rtl/>
        </w:rPr>
      </w:pPr>
      <w:r w:rsidRPr="00A44DE0">
        <w:rPr>
          <w:rFonts w:cs="Arabic Transparent"/>
          <w:b/>
          <w:bCs/>
          <w:sz w:val="28"/>
          <w:szCs w:val="28"/>
          <w:u w:val="single"/>
          <w:rtl/>
        </w:rPr>
        <w:t xml:space="preserve">إعلان عن </w:t>
      </w:r>
      <w:r w:rsidR="00167820">
        <w:rPr>
          <w:rFonts w:cs="Arabic Transparent" w:hint="cs"/>
          <w:b/>
          <w:bCs/>
          <w:sz w:val="28"/>
          <w:szCs w:val="28"/>
          <w:u w:val="single"/>
          <w:rtl/>
          <w:lang w:bidi="ar-LB"/>
        </w:rPr>
        <w:t xml:space="preserve">إعادة </w:t>
      </w:r>
      <w:r w:rsidRPr="00A44DE0">
        <w:rPr>
          <w:rFonts w:cs="Arabic Transparent"/>
          <w:b/>
          <w:bCs/>
          <w:sz w:val="28"/>
          <w:szCs w:val="28"/>
          <w:u w:val="single"/>
          <w:rtl/>
        </w:rPr>
        <w:t>طرح مناقصة لتلزيم</w:t>
      </w:r>
    </w:p>
    <w:p w:rsidR="001715E4" w:rsidRPr="00A44DE0" w:rsidRDefault="001715E4" w:rsidP="001715E4">
      <w:pPr>
        <w:pStyle w:val="Header"/>
        <w:tabs>
          <w:tab w:val="clear" w:pos="4153"/>
          <w:tab w:val="right" w:pos="3420"/>
        </w:tabs>
        <w:bidi w:val="0"/>
        <w:jc w:val="center"/>
        <w:rPr>
          <w:rFonts w:cs="Arabic Transparent"/>
          <w:b/>
          <w:bCs/>
          <w:sz w:val="28"/>
          <w:szCs w:val="28"/>
          <w:u w:val="single"/>
          <w:rtl/>
        </w:rPr>
      </w:pPr>
      <w:r w:rsidRPr="00A44DE0">
        <w:rPr>
          <w:rFonts w:cs="Arabic Transparent"/>
          <w:b/>
          <w:bCs/>
          <w:sz w:val="28"/>
          <w:szCs w:val="28"/>
          <w:u w:val="single"/>
          <w:rtl/>
        </w:rPr>
        <w:t>مشروع أشغال معالجة وإقفال مكب طرابلس القديم للنفايات المنزلية الصلبة</w:t>
      </w:r>
    </w:p>
    <w:p w:rsidR="001715E4" w:rsidRPr="00A44DE0" w:rsidRDefault="001715E4" w:rsidP="001715E4">
      <w:pPr>
        <w:pStyle w:val="Header"/>
        <w:tabs>
          <w:tab w:val="clear" w:pos="4153"/>
          <w:tab w:val="right" w:pos="3420"/>
        </w:tabs>
        <w:bidi w:val="0"/>
        <w:jc w:val="center"/>
        <w:rPr>
          <w:rFonts w:cs="Arabic Transparent"/>
          <w:b/>
          <w:bCs/>
          <w:sz w:val="28"/>
          <w:szCs w:val="28"/>
          <w:u w:val="single"/>
          <w:rtl/>
        </w:rPr>
      </w:pPr>
    </w:p>
    <w:p w:rsidR="001715E4" w:rsidRPr="00A44DE0" w:rsidRDefault="001715E4" w:rsidP="001715E4">
      <w:pPr>
        <w:pStyle w:val="Header"/>
        <w:tabs>
          <w:tab w:val="clear" w:pos="4153"/>
          <w:tab w:val="right" w:pos="3420"/>
        </w:tabs>
        <w:bidi w:val="0"/>
        <w:rPr>
          <w:rFonts w:cs="Arabic Transparent"/>
          <w:b/>
          <w:bCs/>
          <w:sz w:val="28"/>
          <w:szCs w:val="28"/>
          <w:u w:val="single"/>
          <w:rtl/>
        </w:rPr>
      </w:pPr>
    </w:p>
    <w:p w:rsidR="001715E4" w:rsidRPr="00A44DE0" w:rsidRDefault="001715E4" w:rsidP="00167820">
      <w:pPr>
        <w:pStyle w:val="Header"/>
        <w:tabs>
          <w:tab w:val="clear" w:pos="4153"/>
          <w:tab w:val="right" w:pos="3420"/>
        </w:tabs>
        <w:jc w:val="both"/>
        <w:rPr>
          <w:rFonts w:cs="Arabic Transparent"/>
          <w:sz w:val="28"/>
          <w:szCs w:val="28"/>
        </w:rPr>
      </w:pPr>
      <w:r w:rsidRPr="00A44DE0">
        <w:rPr>
          <w:rFonts w:cs="Arabic Transparent"/>
          <w:sz w:val="28"/>
          <w:szCs w:val="28"/>
          <w:rtl/>
        </w:rPr>
        <w:t xml:space="preserve">يعلن مجلس الإنماء والإعمار (المجلس) عن اجراء مناقصة مفتوحة امام المتعهدين اللبنانيين الذين يستوفون الشروط الواردة في ملف التلزيم، لتلزيم مشروع أشغال معالجة وإقفال مكب طرابلس القديم للنفايات المنزلية الصلبة، بتمويل من منحة الصندوق الكويتي للتنمية الاقتصادية العربية للإسهام في خطة الإستجابة لأزمة اللاجئين السوريين في الجمهورية اللبنانية (المنحة الرابعة رقم 394). </w:t>
      </w:r>
    </w:p>
    <w:p w:rsidR="001715E4" w:rsidRPr="00A44DE0" w:rsidRDefault="001715E4" w:rsidP="001715E4">
      <w:pPr>
        <w:pStyle w:val="Header"/>
        <w:tabs>
          <w:tab w:val="clear" w:pos="4153"/>
          <w:tab w:val="right" w:pos="3420"/>
        </w:tabs>
        <w:jc w:val="both"/>
        <w:rPr>
          <w:rFonts w:cs="Arabic Transparent"/>
          <w:sz w:val="28"/>
          <w:szCs w:val="28"/>
        </w:rPr>
      </w:pPr>
    </w:p>
    <w:p w:rsidR="001715E4" w:rsidRPr="00A44DE0" w:rsidRDefault="001715E4" w:rsidP="001715E4">
      <w:pPr>
        <w:pStyle w:val="Header"/>
        <w:tabs>
          <w:tab w:val="clear" w:pos="4153"/>
          <w:tab w:val="right" w:pos="3420"/>
        </w:tabs>
        <w:jc w:val="both"/>
        <w:rPr>
          <w:rFonts w:cs="Arabic Transparent"/>
          <w:sz w:val="28"/>
          <w:szCs w:val="28"/>
          <w:rtl/>
        </w:rPr>
      </w:pPr>
      <w:r w:rsidRPr="00A44DE0">
        <w:rPr>
          <w:rFonts w:cs="Arabic Transparent"/>
          <w:sz w:val="28"/>
          <w:szCs w:val="28"/>
          <w:rtl/>
        </w:rPr>
        <w:t>يمكن الاطلاع على مستندات التلزيم لدى إدارة الشؤون القانونية في مقر مجلس الإنماء والإعمار الكائن في تلة السراي - بيروت.</w:t>
      </w:r>
    </w:p>
    <w:p w:rsidR="001715E4" w:rsidRPr="00A44DE0" w:rsidRDefault="001715E4" w:rsidP="001715E4">
      <w:pPr>
        <w:pStyle w:val="Header"/>
        <w:tabs>
          <w:tab w:val="clear" w:pos="4153"/>
          <w:tab w:val="right" w:pos="3420"/>
        </w:tabs>
        <w:jc w:val="both"/>
        <w:rPr>
          <w:rFonts w:cs="Arabic Transparent"/>
          <w:sz w:val="28"/>
          <w:szCs w:val="28"/>
          <w:rtl/>
        </w:rPr>
      </w:pPr>
    </w:p>
    <w:p w:rsidR="001715E4" w:rsidRPr="00A44DE0" w:rsidRDefault="001715E4" w:rsidP="003370EA">
      <w:pPr>
        <w:pStyle w:val="Header"/>
        <w:tabs>
          <w:tab w:val="clear" w:pos="4153"/>
          <w:tab w:val="right" w:pos="3420"/>
        </w:tabs>
        <w:jc w:val="both"/>
        <w:rPr>
          <w:rFonts w:cs="Arabic Transparent"/>
          <w:sz w:val="28"/>
          <w:szCs w:val="28"/>
        </w:rPr>
      </w:pPr>
      <w:r w:rsidRPr="00A44DE0">
        <w:rPr>
          <w:rFonts w:cs="Arabic Transparent"/>
          <w:sz w:val="28"/>
          <w:szCs w:val="28"/>
          <w:rtl/>
        </w:rPr>
        <w:t>على من يرغب من المقاولين الإشتراك في هذه المناقصة أن يستحصل على نسخة من مستندات التلزيم لقا</w:t>
      </w:r>
      <w:r>
        <w:rPr>
          <w:rFonts w:cs="Arabic Transparent"/>
          <w:sz w:val="28"/>
          <w:szCs w:val="28"/>
          <w:rtl/>
        </w:rPr>
        <w:t>ء تسديد مبلغ قدره /1,000/د.أ. (</w:t>
      </w:r>
      <w:r w:rsidRPr="00A44DE0">
        <w:rPr>
          <w:rFonts w:cs="Arabic Transparent"/>
          <w:sz w:val="28"/>
          <w:szCs w:val="28"/>
          <w:rtl/>
        </w:rPr>
        <w:t xml:space="preserve">فقط الف دولار أميركي)، بموجب شيك مصرفي مصدق باسم مجلس الإنماء والإعمار، وذلك اعتبارا من صباح يوم </w:t>
      </w:r>
      <w:r w:rsidR="003370EA">
        <w:rPr>
          <w:rFonts w:cs="Arabic Transparent" w:hint="cs"/>
          <w:sz w:val="28"/>
          <w:szCs w:val="28"/>
          <w:rtl/>
        </w:rPr>
        <w:t>الجمعة في 3/2/2023</w:t>
      </w:r>
      <w:r>
        <w:rPr>
          <w:rFonts w:cs="Arabic Transparent" w:hint="cs"/>
          <w:sz w:val="28"/>
          <w:szCs w:val="28"/>
          <w:rtl/>
        </w:rPr>
        <w:t>.</w:t>
      </w:r>
    </w:p>
    <w:p w:rsidR="001715E4" w:rsidRPr="00A44DE0" w:rsidRDefault="001715E4" w:rsidP="001715E4">
      <w:pPr>
        <w:pStyle w:val="Header"/>
        <w:tabs>
          <w:tab w:val="clear" w:pos="4153"/>
          <w:tab w:val="right" w:pos="3420"/>
        </w:tabs>
        <w:jc w:val="both"/>
        <w:rPr>
          <w:rFonts w:cs="Arabic Transparent"/>
          <w:sz w:val="28"/>
          <w:szCs w:val="28"/>
          <w:rtl/>
        </w:rPr>
      </w:pPr>
    </w:p>
    <w:p w:rsidR="001715E4" w:rsidRPr="00A44DE0" w:rsidRDefault="001715E4" w:rsidP="003370EA">
      <w:pPr>
        <w:pStyle w:val="Header"/>
        <w:tabs>
          <w:tab w:val="clear" w:pos="4153"/>
          <w:tab w:val="right" w:pos="3420"/>
        </w:tabs>
        <w:jc w:val="both"/>
        <w:rPr>
          <w:rFonts w:cs="Arabic Transparent"/>
          <w:sz w:val="28"/>
          <w:szCs w:val="28"/>
          <w:rtl/>
        </w:rPr>
      </w:pPr>
      <w:r w:rsidRPr="00A44DE0">
        <w:rPr>
          <w:rFonts w:cs="Arabic Transparent"/>
          <w:sz w:val="28"/>
          <w:szCs w:val="28"/>
          <w:rtl/>
        </w:rPr>
        <w:t>تقدم العروض داخل مغلفين مختومين منفصلين (يحتوي الأول على العرض الفني والمستندات المطل</w:t>
      </w:r>
      <w:bookmarkStart w:id="0" w:name="_GoBack"/>
      <w:bookmarkEnd w:id="0"/>
      <w:r w:rsidRPr="00A44DE0">
        <w:rPr>
          <w:rFonts w:cs="Arabic Transparent"/>
          <w:sz w:val="28"/>
          <w:szCs w:val="28"/>
          <w:rtl/>
        </w:rPr>
        <w:t xml:space="preserve">وبة، ويحتوي المغلف الثاني على العرض المالي والجداول المسعرة)، وذلك باليد إلى قلم التسجيل المخصص لهذه الغاية لدى المجلس المذكور، قبل الساعة الثانية عشرة </w:t>
      </w:r>
      <w:r w:rsidR="0036307C">
        <w:rPr>
          <w:rFonts w:cs="Arabic Transparent" w:hint="cs"/>
          <w:sz w:val="28"/>
          <w:szCs w:val="28"/>
          <w:rtl/>
          <w:lang w:bidi="ar-LB"/>
        </w:rPr>
        <w:t xml:space="preserve">ظهراً </w:t>
      </w:r>
      <w:r w:rsidRPr="00A44DE0">
        <w:rPr>
          <w:rFonts w:cs="Arabic Transparent"/>
          <w:sz w:val="28"/>
          <w:szCs w:val="28"/>
          <w:rtl/>
        </w:rPr>
        <w:t xml:space="preserve">بالتوقيت المحلي لمدينة بيروت من يوم </w:t>
      </w:r>
      <w:r w:rsidR="003370EA">
        <w:rPr>
          <w:rFonts w:cs="Arabic Transparent" w:hint="cs"/>
          <w:b/>
          <w:bCs/>
          <w:sz w:val="28"/>
          <w:szCs w:val="28"/>
          <w:rtl/>
          <w:lang w:bidi="ar-LB"/>
        </w:rPr>
        <w:t>الثلاثاء</w:t>
      </w:r>
      <w:r w:rsidRPr="001715E4">
        <w:rPr>
          <w:rFonts w:cs="Arabic Transparent"/>
          <w:b/>
          <w:bCs/>
          <w:sz w:val="28"/>
          <w:szCs w:val="28"/>
          <w:rtl/>
        </w:rPr>
        <w:t xml:space="preserve"> في</w:t>
      </w:r>
      <w:r w:rsidR="003370EA">
        <w:rPr>
          <w:rFonts w:cs="Arabic Transparent" w:hint="cs"/>
          <w:b/>
          <w:bCs/>
          <w:sz w:val="28"/>
          <w:szCs w:val="28"/>
          <w:rtl/>
        </w:rPr>
        <w:t xml:space="preserve"> 28/2/2023</w:t>
      </w:r>
      <w:r>
        <w:rPr>
          <w:rFonts w:cs="Arabic Transparent" w:hint="cs"/>
          <w:sz w:val="28"/>
          <w:szCs w:val="28"/>
          <w:rtl/>
        </w:rPr>
        <w:t>.</w:t>
      </w:r>
      <w:r w:rsidRPr="00A44DE0">
        <w:rPr>
          <w:rFonts w:cs="Arabic Transparent"/>
          <w:sz w:val="28"/>
          <w:szCs w:val="28"/>
          <w:rtl/>
        </w:rPr>
        <w:t xml:space="preserve"> </w:t>
      </w:r>
    </w:p>
    <w:p w:rsidR="001715E4" w:rsidRPr="00A44DE0" w:rsidRDefault="001715E4" w:rsidP="001715E4">
      <w:pPr>
        <w:pStyle w:val="Header"/>
        <w:tabs>
          <w:tab w:val="clear" w:pos="4153"/>
          <w:tab w:val="right" w:pos="3420"/>
        </w:tabs>
        <w:jc w:val="both"/>
        <w:rPr>
          <w:rFonts w:cs="Arabic Transparent"/>
          <w:sz w:val="28"/>
          <w:szCs w:val="28"/>
          <w:rtl/>
        </w:rPr>
      </w:pPr>
    </w:p>
    <w:p w:rsidR="0062765C" w:rsidRDefault="001715E4" w:rsidP="003370EA">
      <w:pPr>
        <w:ind w:firstLine="720"/>
        <w:jc w:val="lowKashida"/>
        <w:rPr>
          <w:rFonts w:cs="Arabic Transparent"/>
          <w:b/>
          <w:bCs/>
          <w:sz w:val="28"/>
          <w:szCs w:val="28"/>
          <w:rtl/>
        </w:rPr>
      </w:pPr>
      <w:r w:rsidRPr="00A44DE0">
        <w:rPr>
          <w:rFonts w:cs="Arabic Transparent"/>
          <w:sz w:val="28"/>
          <w:szCs w:val="28"/>
          <w:rtl/>
        </w:rPr>
        <w:t xml:space="preserve">يجري فتح المغلف الأول في جلسة علنية تعقد عند الساعة الثانية عشرة </w:t>
      </w:r>
      <w:r w:rsidR="0036307C">
        <w:rPr>
          <w:rFonts w:cs="Arabic Transparent" w:hint="cs"/>
          <w:sz w:val="28"/>
          <w:szCs w:val="28"/>
          <w:rtl/>
          <w:lang w:bidi="ar-LB"/>
        </w:rPr>
        <w:t xml:space="preserve">ظهراً </w:t>
      </w:r>
      <w:r w:rsidRPr="00A44DE0">
        <w:rPr>
          <w:rFonts w:cs="Arabic Transparent"/>
          <w:sz w:val="28"/>
          <w:szCs w:val="28"/>
          <w:rtl/>
        </w:rPr>
        <w:t>بالتوقيت المحلي لمدينة بيروت من يوم </w:t>
      </w:r>
      <w:r w:rsidR="003370EA">
        <w:rPr>
          <w:rFonts w:cs="Arabic Transparent" w:hint="cs"/>
          <w:b/>
          <w:bCs/>
          <w:sz w:val="28"/>
          <w:szCs w:val="28"/>
          <w:rtl/>
          <w:lang w:bidi="ar-LB"/>
        </w:rPr>
        <w:t>الثلاثاء</w:t>
      </w:r>
      <w:r w:rsidR="003370EA" w:rsidRPr="001715E4">
        <w:rPr>
          <w:rFonts w:cs="Arabic Transparent"/>
          <w:b/>
          <w:bCs/>
          <w:sz w:val="28"/>
          <w:szCs w:val="28"/>
          <w:rtl/>
        </w:rPr>
        <w:t xml:space="preserve"> في</w:t>
      </w:r>
      <w:r w:rsidR="003370EA">
        <w:rPr>
          <w:rFonts w:cs="Arabic Transparent" w:hint="cs"/>
          <w:b/>
          <w:bCs/>
          <w:sz w:val="28"/>
          <w:szCs w:val="28"/>
          <w:rtl/>
        </w:rPr>
        <w:t xml:space="preserve"> 28/2/2023 </w:t>
      </w:r>
      <w:r w:rsidRPr="00A44DE0">
        <w:rPr>
          <w:rFonts w:cs="Arabic Transparent"/>
          <w:sz w:val="28"/>
          <w:szCs w:val="28"/>
          <w:rtl/>
        </w:rPr>
        <w:t>وذلك في قاعة الاجتماعات الكائنة في مقـر المجلس المشار إلى عنوانه أعلاه، حيث تقوم لجنة فض العروض بتقييم المستندات والوثائق والشروط الإدارية والفنية، على أن يتم فض العروض المالية للعارضين الذين يستوفون الشروط الادارية والفنية المطلوبة بهذا الخصوص، في نفس الجلسة</w:t>
      </w:r>
      <w:r>
        <w:rPr>
          <w:rFonts w:cs="Arabic Transparent"/>
          <w:sz w:val="28"/>
          <w:szCs w:val="28"/>
        </w:rPr>
        <w:t>.</w:t>
      </w:r>
    </w:p>
    <w:p w:rsidR="00167820" w:rsidRDefault="00167820" w:rsidP="00A50477">
      <w:pPr>
        <w:ind w:firstLine="720"/>
        <w:jc w:val="lowKashida"/>
        <w:rPr>
          <w:rFonts w:ascii="Arabic Transparent" w:hAnsi="Arabic Transparent" w:cs="Arabic Transparent"/>
          <w:sz w:val="28"/>
          <w:szCs w:val="28"/>
          <w:rtl/>
        </w:rPr>
      </w:pPr>
    </w:p>
    <w:p w:rsidR="00167820" w:rsidRPr="00167820" w:rsidRDefault="00167820" w:rsidP="00167820">
      <w:pPr>
        <w:rPr>
          <w:rFonts w:ascii="Arabic Transparent" w:hAnsi="Arabic Transparent" w:cs="Arabic Transparent"/>
          <w:sz w:val="28"/>
          <w:szCs w:val="28"/>
          <w:rtl/>
        </w:rPr>
      </w:pPr>
    </w:p>
    <w:p w:rsidR="00167820" w:rsidRPr="00167820" w:rsidRDefault="00167820" w:rsidP="00167820">
      <w:pPr>
        <w:rPr>
          <w:rFonts w:ascii="Arabic Transparent" w:hAnsi="Arabic Transparent" w:cs="Arabic Transparent"/>
          <w:sz w:val="28"/>
          <w:szCs w:val="28"/>
          <w:rtl/>
        </w:rPr>
      </w:pPr>
    </w:p>
    <w:p w:rsidR="00167820" w:rsidRPr="00167820" w:rsidRDefault="00167820" w:rsidP="00167820">
      <w:pPr>
        <w:rPr>
          <w:rFonts w:ascii="Arabic Transparent" w:hAnsi="Arabic Transparent" w:cs="Arabic Transparent"/>
          <w:sz w:val="28"/>
          <w:szCs w:val="28"/>
          <w:rtl/>
        </w:rPr>
      </w:pPr>
    </w:p>
    <w:p w:rsidR="00167820" w:rsidRPr="00167820" w:rsidRDefault="00167820" w:rsidP="00167820">
      <w:pPr>
        <w:rPr>
          <w:rFonts w:ascii="Arabic Transparent" w:hAnsi="Arabic Transparent" w:cs="Arabic Transparent"/>
          <w:sz w:val="28"/>
          <w:szCs w:val="28"/>
          <w:rtl/>
        </w:rPr>
      </w:pPr>
    </w:p>
    <w:p w:rsidR="00167820" w:rsidRPr="00167820" w:rsidRDefault="00167820" w:rsidP="00167820">
      <w:pPr>
        <w:rPr>
          <w:rFonts w:ascii="Arabic Transparent" w:hAnsi="Arabic Transparent" w:cs="Arabic Transparent"/>
          <w:sz w:val="28"/>
          <w:szCs w:val="28"/>
          <w:rtl/>
        </w:rPr>
      </w:pPr>
    </w:p>
    <w:p w:rsidR="00167820" w:rsidRPr="00167820" w:rsidRDefault="00167820" w:rsidP="00167820">
      <w:pPr>
        <w:rPr>
          <w:rFonts w:ascii="Arabic Transparent" w:hAnsi="Arabic Transparent" w:cs="Arabic Transparent"/>
          <w:sz w:val="28"/>
          <w:szCs w:val="28"/>
          <w:rtl/>
        </w:rPr>
      </w:pPr>
    </w:p>
    <w:p w:rsidR="00167820" w:rsidRPr="00167820" w:rsidRDefault="00167820" w:rsidP="00167820">
      <w:pPr>
        <w:rPr>
          <w:rFonts w:ascii="Arabic Transparent" w:hAnsi="Arabic Transparent" w:cs="Arabic Transparent"/>
          <w:sz w:val="28"/>
          <w:szCs w:val="28"/>
          <w:rtl/>
        </w:rPr>
      </w:pPr>
    </w:p>
    <w:p w:rsidR="00167820" w:rsidRPr="00167820" w:rsidRDefault="00167820" w:rsidP="00167820">
      <w:pPr>
        <w:rPr>
          <w:rFonts w:ascii="Arabic Transparent" w:hAnsi="Arabic Transparent" w:cs="Arabic Transparent"/>
          <w:sz w:val="28"/>
          <w:szCs w:val="28"/>
          <w:rtl/>
        </w:rPr>
      </w:pPr>
    </w:p>
    <w:p w:rsidR="00167820" w:rsidRDefault="00167820" w:rsidP="00167820">
      <w:pPr>
        <w:rPr>
          <w:rFonts w:ascii="Arabic Transparent" w:hAnsi="Arabic Transparent" w:cs="Arabic Transparent"/>
          <w:sz w:val="28"/>
          <w:szCs w:val="28"/>
          <w:rtl/>
        </w:rPr>
      </w:pPr>
    </w:p>
    <w:p w:rsidR="00A50477" w:rsidRPr="00167820" w:rsidRDefault="00167820" w:rsidP="00167820">
      <w:pPr>
        <w:tabs>
          <w:tab w:val="left" w:pos="2253"/>
        </w:tabs>
        <w:rPr>
          <w:rFonts w:ascii="Arabic Transparent" w:hAnsi="Arabic Transparent" w:cs="Arabic Transparent"/>
          <w:sz w:val="28"/>
          <w:szCs w:val="28"/>
        </w:rPr>
      </w:pPr>
      <w:r>
        <w:rPr>
          <w:rFonts w:ascii="Arabic Transparent" w:hAnsi="Arabic Transparent" w:cs="Arabic Transparent"/>
          <w:sz w:val="28"/>
          <w:szCs w:val="28"/>
          <w:rtl/>
        </w:rPr>
        <w:tab/>
      </w:r>
    </w:p>
    <w:sectPr w:rsidR="00A50477" w:rsidRPr="00167820" w:rsidSect="00211731">
      <w:headerReference w:type="default" r:id="rId9"/>
      <w:footerReference w:type="default" r:id="rId10"/>
      <w:pgSz w:w="11907" w:h="16840" w:code="9"/>
      <w:pgMar w:top="1134" w:right="1701" w:bottom="1134" w:left="1701" w:header="720" w:footer="720" w:gutter="0"/>
      <w:cols w:space="720"/>
      <w:bidi/>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DEC" w:rsidRDefault="00CA2DEC">
      <w:r>
        <w:separator/>
      </w:r>
    </w:p>
  </w:endnote>
  <w:endnote w:type="continuationSeparator" w:id="0">
    <w:p w:rsidR="00CA2DEC" w:rsidRDefault="00CA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20" w:rsidRDefault="003370EA" w:rsidP="003370EA">
    <w:pPr>
      <w:pStyle w:val="Footer"/>
      <w:rPr>
        <w:rFonts w:asciiTheme="majorBidi" w:hAnsiTheme="majorBidi" w:cstheme="majorBidi"/>
        <w:sz w:val="12"/>
        <w:szCs w:val="12"/>
      </w:rPr>
    </w:pPr>
    <w:r>
      <w:rPr>
        <w:rFonts w:asciiTheme="majorBidi" w:hAnsiTheme="majorBidi" w:cstheme="majorBidi"/>
        <w:sz w:val="12"/>
        <w:szCs w:val="12"/>
      </w:rPr>
      <w:fldChar w:fldCharType="begin"/>
    </w:r>
    <w:r>
      <w:rPr>
        <w:rFonts w:asciiTheme="majorBidi" w:hAnsiTheme="majorBidi" w:cstheme="majorBidi"/>
        <w:sz w:val="12"/>
        <w:szCs w:val="12"/>
      </w:rPr>
      <w:instrText xml:space="preserve"> FILENAME   \* MERGEFORMAT </w:instrText>
    </w:r>
    <w:r>
      <w:rPr>
        <w:rFonts w:asciiTheme="majorBidi" w:hAnsiTheme="majorBidi" w:cstheme="majorBidi"/>
        <w:sz w:val="12"/>
        <w:szCs w:val="12"/>
      </w:rPr>
      <w:fldChar w:fldCharType="separate"/>
    </w:r>
    <w:r>
      <w:rPr>
        <w:rFonts w:asciiTheme="majorBidi" w:hAnsiTheme="majorBidi" w:cstheme="majorBidi"/>
        <w:noProof/>
        <w:sz w:val="12"/>
        <w:szCs w:val="12"/>
      </w:rPr>
      <w:t>Annonce-817- Closing Tripoli Dumping Area (2)</w:t>
    </w:r>
    <w:r>
      <w:rPr>
        <w:rFonts w:asciiTheme="majorBidi" w:hAnsiTheme="majorBidi" w:cstheme="majorBidi"/>
        <w:sz w:val="12"/>
        <w:szCs w:val="12"/>
      </w:rPr>
      <w:fldChar w:fldCharType="end"/>
    </w:r>
  </w:p>
  <w:p w:rsidR="003370EA" w:rsidRPr="003370EA" w:rsidRDefault="003370EA" w:rsidP="003370EA">
    <w:pPr>
      <w:pStyle w:val="Footer"/>
    </w:pPr>
    <w:r>
      <w:rPr>
        <w:rFonts w:asciiTheme="majorBidi" w:hAnsiTheme="majorBidi" w:cstheme="majorBidi"/>
        <w:sz w:val="12"/>
        <w:szCs w:val="12"/>
      </w:rPr>
      <w:t>1/2/23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DEC" w:rsidRDefault="00CA2DEC">
      <w:r>
        <w:separator/>
      </w:r>
    </w:p>
  </w:footnote>
  <w:footnote w:type="continuationSeparator" w:id="0">
    <w:p w:rsidR="00CA2DEC" w:rsidRDefault="00CA2D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73" w:rsidRPr="00501DF6" w:rsidRDefault="00501DF6" w:rsidP="00501DF6">
    <w:pPr>
      <w:pStyle w:val="Header"/>
      <w:rPr>
        <w:rFonts w:ascii="Arabic Transparent" w:hAnsi="Arabic Transparent" w:cs="Arabic Transparent"/>
        <w:sz w:val="28"/>
        <w:szCs w:val="28"/>
      </w:rPr>
    </w:pPr>
    <w:r w:rsidRPr="00501DF6">
      <w:rPr>
        <w:rFonts w:ascii="Arabic Transparent" w:hAnsi="Arabic Transparent" w:cs="Arabic Transparent"/>
        <w:sz w:val="28"/>
        <w:szCs w:val="28"/>
        <w:rtl/>
      </w:rPr>
      <w:t>مجلس الإنماء والإعمار</w:t>
    </w:r>
  </w:p>
  <w:p w:rsidR="00531373" w:rsidRDefault="005313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948D698"/>
    <w:lvl w:ilvl="0">
      <w:numFmt w:val="bullet"/>
      <w:lvlText w:val="*"/>
      <w:lvlJc w:val="left"/>
    </w:lvl>
  </w:abstractNum>
  <w:abstractNum w:abstractNumId="1" w15:restartNumberingAfterBreak="0">
    <w:nsid w:val="01A702B2"/>
    <w:multiLevelType w:val="hybridMultilevel"/>
    <w:tmpl w:val="1BF02284"/>
    <w:lvl w:ilvl="0" w:tplc="0409001B">
      <w:start w:val="1"/>
      <w:numFmt w:val="lowerRoman"/>
      <w:lvlText w:val="%1."/>
      <w:lvlJc w:val="right"/>
      <w:pPr>
        <w:tabs>
          <w:tab w:val="num" w:pos="2400"/>
        </w:tabs>
        <w:ind w:left="2400"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A72F5F"/>
    <w:multiLevelType w:val="hybridMultilevel"/>
    <w:tmpl w:val="15EEAF50"/>
    <w:lvl w:ilvl="0" w:tplc="236EB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A466F"/>
    <w:multiLevelType w:val="hybridMultilevel"/>
    <w:tmpl w:val="B414FED0"/>
    <w:lvl w:ilvl="0" w:tplc="0409001B">
      <w:start w:val="1"/>
      <w:numFmt w:val="lowerRoman"/>
      <w:lvlText w:val="%1."/>
      <w:lvlJc w:val="right"/>
      <w:pPr>
        <w:tabs>
          <w:tab w:val="num" w:pos="2400"/>
        </w:tabs>
        <w:ind w:left="2400"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4F54E8C"/>
    <w:multiLevelType w:val="hybridMultilevel"/>
    <w:tmpl w:val="D3D04A84"/>
    <w:lvl w:ilvl="0" w:tplc="50D2EF88">
      <w:start w:val="1"/>
      <w:numFmt w:val="lowerLetter"/>
      <w:lvlText w:val="%1)"/>
      <w:lvlJc w:val="left"/>
      <w:pPr>
        <w:tabs>
          <w:tab w:val="num" w:pos="4793"/>
        </w:tabs>
        <w:ind w:left="4793" w:hanging="360"/>
      </w:pPr>
    </w:lvl>
    <w:lvl w:ilvl="1" w:tplc="04090019">
      <w:start w:val="1"/>
      <w:numFmt w:val="decimal"/>
      <w:lvlText w:val="%2."/>
      <w:lvlJc w:val="left"/>
      <w:pPr>
        <w:tabs>
          <w:tab w:val="num" w:pos="5760"/>
        </w:tabs>
        <w:ind w:left="5760" w:hanging="360"/>
      </w:pPr>
    </w:lvl>
    <w:lvl w:ilvl="2" w:tplc="0409001B">
      <w:start w:val="1"/>
      <w:numFmt w:val="decimal"/>
      <w:lvlText w:val="%3."/>
      <w:lvlJc w:val="left"/>
      <w:pPr>
        <w:tabs>
          <w:tab w:val="num" w:pos="6480"/>
        </w:tabs>
        <w:ind w:left="6480" w:hanging="360"/>
      </w:pPr>
    </w:lvl>
    <w:lvl w:ilvl="3" w:tplc="0409000F">
      <w:start w:val="1"/>
      <w:numFmt w:val="decimal"/>
      <w:lvlText w:val="%4."/>
      <w:lvlJc w:val="left"/>
      <w:pPr>
        <w:tabs>
          <w:tab w:val="num" w:pos="7200"/>
        </w:tabs>
        <w:ind w:left="7200" w:hanging="360"/>
      </w:pPr>
    </w:lvl>
    <w:lvl w:ilvl="4" w:tplc="04090019">
      <w:start w:val="1"/>
      <w:numFmt w:val="decimal"/>
      <w:lvlText w:val="%5."/>
      <w:lvlJc w:val="left"/>
      <w:pPr>
        <w:tabs>
          <w:tab w:val="num" w:pos="7920"/>
        </w:tabs>
        <w:ind w:left="7920" w:hanging="360"/>
      </w:pPr>
    </w:lvl>
    <w:lvl w:ilvl="5" w:tplc="0409001B">
      <w:start w:val="1"/>
      <w:numFmt w:val="decimal"/>
      <w:lvlText w:val="%6."/>
      <w:lvlJc w:val="left"/>
      <w:pPr>
        <w:tabs>
          <w:tab w:val="num" w:pos="8640"/>
        </w:tabs>
        <w:ind w:left="8640" w:hanging="360"/>
      </w:pPr>
    </w:lvl>
    <w:lvl w:ilvl="6" w:tplc="0409000F">
      <w:start w:val="1"/>
      <w:numFmt w:val="decimal"/>
      <w:lvlText w:val="%7."/>
      <w:lvlJc w:val="left"/>
      <w:pPr>
        <w:tabs>
          <w:tab w:val="num" w:pos="9360"/>
        </w:tabs>
        <w:ind w:left="9360" w:hanging="360"/>
      </w:pPr>
    </w:lvl>
    <w:lvl w:ilvl="7" w:tplc="04090019">
      <w:start w:val="1"/>
      <w:numFmt w:val="decimal"/>
      <w:lvlText w:val="%8."/>
      <w:lvlJc w:val="left"/>
      <w:pPr>
        <w:tabs>
          <w:tab w:val="num" w:pos="10080"/>
        </w:tabs>
        <w:ind w:left="10080" w:hanging="360"/>
      </w:pPr>
    </w:lvl>
    <w:lvl w:ilvl="8" w:tplc="0409001B">
      <w:start w:val="1"/>
      <w:numFmt w:val="decimal"/>
      <w:lvlText w:val="%9."/>
      <w:lvlJc w:val="left"/>
      <w:pPr>
        <w:tabs>
          <w:tab w:val="num" w:pos="10800"/>
        </w:tabs>
        <w:ind w:left="10800" w:hanging="360"/>
      </w:pPr>
    </w:lvl>
  </w:abstractNum>
  <w:abstractNum w:abstractNumId="5" w15:restartNumberingAfterBreak="0">
    <w:nsid w:val="36EF2D23"/>
    <w:multiLevelType w:val="hybridMultilevel"/>
    <w:tmpl w:val="F5CC30D6"/>
    <w:lvl w:ilvl="0" w:tplc="33640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312C6"/>
    <w:multiLevelType w:val="multilevel"/>
    <w:tmpl w:val="D6F06188"/>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1292"/>
        </w:tabs>
        <w:ind w:left="1292" w:hanging="720"/>
      </w:pPr>
      <w:rPr>
        <w:rFonts w:hint="default"/>
      </w:rPr>
    </w:lvl>
    <w:lvl w:ilvl="2">
      <w:start w:val="1"/>
      <w:numFmt w:val="decimal"/>
      <w:lvlText w:val="%1-%2)%3."/>
      <w:lvlJc w:val="left"/>
      <w:pPr>
        <w:tabs>
          <w:tab w:val="num" w:pos="1864"/>
        </w:tabs>
        <w:ind w:left="1864" w:hanging="720"/>
      </w:pPr>
      <w:rPr>
        <w:rFonts w:hint="default"/>
      </w:rPr>
    </w:lvl>
    <w:lvl w:ilvl="3">
      <w:start w:val="1"/>
      <w:numFmt w:val="decimal"/>
      <w:lvlText w:val="%1-%2)%3.%4."/>
      <w:lvlJc w:val="left"/>
      <w:pPr>
        <w:tabs>
          <w:tab w:val="num" w:pos="2796"/>
        </w:tabs>
        <w:ind w:left="2796" w:hanging="1080"/>
      </w:pPr>
      <w:rPr>
        <w:rFonts w:hint="default"/>
      </w:rPr>
    </w:lvl>
    <w:lvl w:ilvl="4">
      <w:start w:val="1"/>
      <w:numFmt w:val="decimal"/>
      <w:lvlText w:val="%1-%2)%3.%4.%5."/>
      <w:lvlJc w:val="left"/>
      <w:pPr>
        <w:tabs>
          <w:tab w:val="num" w:pos="3728"/>
        </w:tabs>
        <w:ind w:left="3728" w:hanging="1440"/>
      </w:pPr>
      <w:rPr>
        <w:rFonts w:hint="default"/>
      </w:rPr>
    </w:lvl>
    <w:lvl w:ilvl="5">
      <w:start w:val="1"/>
      <w:numFmt w:val="decimal"/>
      <w:lvlText w:val="%1-%2)%3.%4.%5.%6."/>
      <w:lvlJc w:val="left"/>
      <w:pPr>
        <w:tabs>
          <w:tab w:val="num" w:pos="4300"/>
        </w:tabs>
        <w:ind w:left="4300" w:hanging="1440"/>
      </w:pPr>
      <w:rPr>
        <w:rFonts w:hint="default"/>
      </w:rPr>
    </w:lvl>
    <w:lvl w:ilvl="6">
      <w:start w:val="1"/>
      <w:numFmt w:val="decimal"/>
      <w:lvlText w:val="%1-%2)%3.%4.%5.%6.%7."/>
      <w:lvlJc w:val="left"/>
      <w:pPr>
        <w:tabs>
          <w:tab w:val="num" w:pos="5232"/>
        </w:tabs>
        <w:ind w:left="5232" w:hanging="1800"/>
      </w:pPr>
      <w:rPr>
        <w:rFonts w:hint="default"/>
      </w:rPr>
    </w:lvl>
    <w:lvl w:ilvl="7">
      <w:start w:val="1"/>
      <w:numFmt w:val="decimal"/>
      <w:lvlText w:val="%1-%2)%3.%4.%5.%6.%7.%8."/>
      <w:lvlJc w:val="left"/>
      <w:pPr>
        <w:tabs>
          <w:tab w:val="num" w:pos="5804"/>
        </w:tabs>
        <w:ind w:left="5804" w:hanging="1800"/>
      </w:pPr>
      <w:rPr>
        <w:rFonts w:hint="default"/>
      </w:rPr>
    </w:lvl>
    <w:lvl w:ilvl="8">
      <w:start w:val="1"/>
      <w:numFmt w:val="decimal"/>
      <w:lvlText w:val="%1-%2)%3.%4.%5.%6.%7.%8.%9."/>
      <w:lvlJc w:val="left"/>
      <w:pPr>
        <w:tabs>
          <w:tab w:val="num" w:pos="6736"/>
        </w:tabs>
        <w:ind w:left="6736" w:hanging="2160"/>
      </w:pPr>
      <w:rPr>
        <w:rFonts w:hint="default"/>
      </w:rPr>
    </w:lvl>
  </w:abstractNum>
  <w:abstractNum w:abstractNumId="7" w15:restartNumberingAfterBreak="0">
    <w:nsid w:val="5DB95257"/>
    <w:multiLevelType w:val="hybridMultilevel"/>
    <w:tmpl w:val="FDD8CCCC"/>
    <w:lvl w:ilvl="0" w:tplc="039CBE3E">
      <w:numFmt w:val="bullet"/>
      <w:lvlText w:val="-"/>
      <w:lvlJc w:val="left"/>
      <w:pPr>
        <w:ind w:left="746" w:hanging="360"/>
      </w:pPr>
      <w:rPr>
        <w:rFonts w:ascii="Arabic Transparent" w:eastAsia="Times New Roman" w:hAnsi="Arabic Transparent" w:cs="Arabic Transparent"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8" w15:restartNumberingAfterBreak="0">
    <w:nsid w:val="78AD6151"/>
    <w:multiLevelType w:val="multilevel"/>
    <w:tmpl w:val="63844F60"/>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292"/>
        </w:tabs>
        <w:ind w:left="1292" w:hanging="720"/>
      </w:pPr>
      <w:rPr>
        <w:rFonts w:hint="default"/>
      </w:rPr>
    </w:lvl>
    <w:lvl w:ilvl="2">
      <w:start w:val="1"/>
      <w:numFmt w:val="decimal"/>
      <w:lvlText w:val="%1-%2)%3."/>
      <w:lvlJc w:val="left"/>
      <w:pPr>
        <w:tabs>
          <w:tab w:val="num" w:pos="1864"/>
        </w:tabs>
        <w:ind w:left="1864" w:hanging="720"/>
      </w:pPr>
      <w:rPr>
        <w:rFonts w:hint="default"/>
      </w:rPr>
    </w:lvl>
    <w:lvl w:ilvl="3">
      <w:start w:val="1"/>
      <w:numFmt w:val="decimal"/>
      <w:lvlText w:val="%1-%2)%3.%4."/>
      <w:lvlJc w:val="left"/>
      <w:pPr>
        <w:tabs>
          <w:tab w:val="num" w:pos="2796"/>
        </w:tabs>
        <w:ind w:left="2796" w:hanging="1080"/>
      </w:pPr>
      <w:rPr>
        <w:rFonts w:hint="default"/>
      </w:rPr>
    </w:lvl>
    <w:lvl w:ilvl="4">
      <w:start w:val="1"/>
      <w:numFmt w:val="decimal"/>
      <w:lvlText w:val="%1-%2)%3.%4.%5."/>
      <w:lvlJc w:val="left"/>
      <w:pPr>
        <w:tabs>
          <w:tab w:val="num" w:pos="3728"/>
        </w:tabs>
        <w:ind w:left="3728" w:hanging="1440"/>
      </w:pPr>
      <w:rPr>
        <w:rFonts w:hint="default"/>
      </w:rPr>
    </w:lvl>
    <w:lvl w:ilvl="5">
      <w:start w:val="1"/>
      <w:numFmt w:val="decimal"/>
      <w:lvlText w:val="%1-%2)%3.%4.%5.%6."/>
      <w:lvlJc w:val="left"/>
      <w:pPr>
        <w:tabs>
          <w:tab w:val="num" w:pos="4300"/>
        </w:tabs>
        <w:ind w:left="4300" w:hanging="1440"/>
      </w:pPr>
      <w:rPr>
        <w:rFonts w:hint="default"/>
      </w:rPr>
    </w:lvl>
    <w:lvl w:ilvl="6">
      <w:start w:val="1"/>
      <w:numFmt w:val="decimal"/>
      <w:lvlText w:val="%1-%2)%3.%4.%5.%6.%7."/>
      <w:lvlJc w:val="left"/>
      <w:pPr>
        <w:tabs>
          <w:tab w:val="num" w:pos="5232"/>
        </w:tabs>
        <w:ind w:left="5232" w:hanging="1800"/>
      </w:pPr>
      <w:rPr>
        <w:rFonts w:hint="default"/>
      </w:rPr>
    </w:lvl>
    <w:lvl w:ilvl="7">
      <w:start w:val="1"/>
      <w:numFmt w:val="decimal"/>
      <w:lvlText w:val="%1-%2)%3.%4.%5.%6.%7.%8."/>
      <w:lvlJc w:val="left"/>
      <w:pPr>
        <w:tabs>
          <w:tab w:val="num" w:pos="5804"/>
        </w:tabs>
        <w:ind w:left="5804" w:hanging="1800"/>
      </w:pPr>
      <w:rPr>
        <w:rFonts w:hint="default"/>
      </w:rPr>
    </w:lvl>
    <w:lvl w:ilvl="8">
      <w:start w:val="1"/>
      <w:numFmt w:val="decimal"/>
      <w:lvlText w:val="%1-%2)%3.%4.%5.%6.%7.%8.%9."/>
      <w:lvlJc w:val="left"/>
      <w:pPr>
        <w:tabs>
          <w:tab w:val="num" w:pos="6736"/>
        </w:tabs>
        <w:ind w:left="6736"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5"/>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C1"/>
    <w:rsid w:val="000015B8"/>
    <w:rsid w:val="00007A44"/>
    <w:rsid w:val="00013DA5"/>
    <w:rsid w:val="00022392"/>
    <w:rsid w:val="00024078"/>
    <w:rsid w:val="00026E8E"/>
    <w:rsid w:val="00035599"/>
    <w:rsid w:val="0003679F"/>
    <w:rsid w:val="00046176"/>
    <w:rsid w:val="00051365"/>
    <w:rsid w:val="00067D38"/>
    <w:rsid w:val="000749BB"/>
    <w:rsid w:val="0007748B"/>
    <w:rsid w:val="000815AA"/>
    <w:rsid w:val="000820FD"/>
    <w:rsid w:val="00082AE3"/>
    <w:rsid w:val="00090D49"/>
    <w:rsid w:val="000927F8"/>
    <w:rsid w:val="0009581D"/>
    <w:rsid w:val="000959AB"/>
    <w:rsid w:val="00096A8A"/>
    <w:rsid w:val="000B352E"/>
    <w:rsid w:val="000B3BBD"/>
    <w:rsid w:val="000C3772"/>
    <w:rsid w:val="000D25C7"/>
    <w:rsid w:val="000E3238"/>
    <w:rsid w:val="000F63EE"/>
    <w:rsid w:val="0010501B"/>
    <w:rsid w:val="0013315C"/>
    <w:rsid w:val="00133D3C"/>
    <w:rsid w:val="001355FD"/>
    <w:rsid w:val="00135778"/>
    <w:rsid w:val="00141B0B"/>
    <w:rsid w:val="00157828"/>
    <w:rsid w:val="00165DC8"/>
    <w:rsid w:val="00166AEB"/>
    <w:rsid w:val="00167820"/>
    <w:rsid w:val="00170523"/>
    <w:rsid w:val="001710E8"/>
    <w:rsid w:val="001715E4"/>
    <w:rsid w:val="001732AE"/>
    <w:rsid w:val="00175034"/>
    <w:rsid w:val="001768AB"/>
    <w:rsid w:val="00181C0A"/>
    <w:rsid w:val="00187AAD"/>
    <w:rsid w:val="001A0F2B"/>
    <w:rsid w:val="001A3FFE"/>
    <w:rsid w:val="001B53CD"/>
    <w:rsid w:val="001C051C"/>
    <w:rsid w:val="001C4F98"/>
    <w:rsid w:val="001D20CC"/>
    <w:rsid w:val="001D35B8"/>
    <w:rsid w:val="001D7141"/>
    <w:rsid w:val="001F1C7B"/>
    <w:rsid w:val="001F3AC5"/>
    <w:rsid w:val="00206620"/>
    <w:rsid w:val="00211731"/>
    <w:rsid w:val="002123CB"/>
    <w:rsid w:val="00213131"/>
    <w:rsid w:val="00216349"/>
    <w:rsid w:val="002321F5"/>
    <w:rsid w:val="00232BD2"/>
    <w:rsid w:val="00236815"/>
    <w:rsid w:val="00247731"/>
    <w:rsid w:val="002619CA"/>
    <w:rsid w:val="0026248A"/>
    <w:rsid w:val="002631EE"/>
    <w:rsid w:val="00266A62"/>
    <w:rsid w:val="00276686"/>
    <w:rsid w:val="002B13E7"/>
    <w:rsid w:val="002B361A"/>
    <w:rsid w:val="002C1A4A"/>
    <w:rsid w:val="002C448A"/>
    <w:rsid w:val="002D0286"/>
    <w:rsid w:val="002D4562"/>
    <w:rsid w:val="002D752F"/>
    <w:rsid w:val="002E720C"/>
    <w:rsid w:val="002F264C"/>
    <w:rsid w:val="003013A0"/>
    <w:rsid w:val="0030544B"/>
    <w:rsid w:val="00305ABF"/>
    <w:rsid w:val="0031670C"/>
    <w:rsid w:val="00316812"/>
    <w:rsid w:val="00317ABA"/>
    <w:rsid w:val="00334847"/>
    <w:rsid w:val="00336E9E"/>
    <w:rsid w:val="003370EA"/>
    <w:rsid w:val="00343892"/>
    <w:rsid w:val="00347770"/>
    <w:rsid w:val="00347F37"/>
    <w:rsid w:val="003616AA"/>
    <w:rsid w:val="0036307C"/>
    <w:rsid w:val="0036639D"/>
    <w:rsid w:val="0038168F"/>
    <w:rsid w:val="00390363"/>
    <w:rsid w:val="00390F13"/>
    <w:rsid w:val="00396D6A"/>
    <w:rsid w:val="003A2CED"/>
    <w:rsid w:val="003B0657"/>
    <w:rsid w:val="003B3607"/>
    <w:rsid w:val="003B7E43"/>
    <w:rsid w:val="003C1DD4"/>
    <w:rsid w:val="003D44D0"/>
    <w:rsid w:val="003D7CCB"/>
    <w:rsid w:val="003E2C5D"/>
    <w:rsid w:val="003F18E8"/>
    <w:rsid w:val="00405662"/>
    <w:rsid w:val="00407DDB"/>
    <w:rsid w:val="00411271"/>
    <w:rsid w:val="00411A7F"/>
    <w:rsid w:val="00413A38"/>
    <w:rsid w:val="00414173"/>
    <w:rsid w:val="0041613C"/>
    <w:rsid w:val="00421130"/>
    <w:rsid w:val="004258AE"/>
    <w:rsid w:val="004403A7"/>
    <w:rsid w:val="00443149"/>
    <w:rsid w:val="004454D7"/>
    <w:rsid w:val="00446E1C"/>
    <w:rsid w:val="00456D42"/>
    <w:rsid w:val="00470626"/>
    <w:rsid w:val="00480D25"/>
    <w:rsid w:val="0048230A"/>
    <w:rsid w:val="00487AE2"/>
    <w:rsid w:val="00491307"/>
    <w:rsid w:val="0049137A"/>
    <w:rsid w:val="00492440"/>
    <w:rsid w:val="004A030B"/>
    <w:rsid w:val="004A39C6"/>
    <w:rsid w:val="004A46BF"/>
    <w:rsid w:val="004B0CEE"/>
    <w:rsid w:val="004B1372"/>
    <w:rsid w:val="004B20D6"/>
    <w:rsid w:val="004B343F"/>
    <w:rsid w:val="004B3734"/>
    <w:rsid w:val="004B5465"/>
    <w:rsid w:val="004C043A"/>
    <w:rsid w:val="004C3BE7"/>
    <w:rsid w:val="004C3CD1"/>
    <w:rsid w:val="004C6AF7"/>
    <w:rsid w:val="004D3AC3"/>
    <w:rsid w:val="004D486E"/>
    <w:rsid w:val="004D6E04"/>
    <w:rsid w:val="004D769B"/>
    <w:rsid w:val="004E221E"/>
    <w:rsid w:val="004E48FA"/>
    <w:rsid w:val="004E77A6"/>
    <w:rsid w:val="004F06BB"/>
    <w:rsid w:val="00501DF6"/>
    <w:rsid w:val="00502C33"/>
    <w:rsid w:val="00505759"/>
    <w:rsid w:val="00511B66"/>
    <w:rsid w:val="00515074"/>
    <w:rsid w:val="0052355C"/>
    <w:rsid w:val="00525CF5"/>
    <w:rsid w:val="00526176"/>
    <w:rsid w:val="00527F4D"/>
    <w:rsid w:val="00531373"/>
    <w:rsid w:val="005331C4"/>
    <w:rsid w:val="00534B12"/>
    <w:rsid w:val="00541FF5"/>
    <w:rsid w:val="005443F2"/>
    <w:rsid w:val="00544E79"/>
    <w:rsid w:val="00545214"/>
    <w:rsid w:val="00545B65"/>
    <w:rsid w:val="00552182"/>
    <w:rsid w:val="00554AD6"/>
    <w:rsid w:val="00562396"/>
    <w:rsid w:val="00562F2A"/>
    <w:rsid w:val="00581A24"/>
    <w:rsid w:val="0058392D"/>
    <w:rsid w:val="00584052"/>
    <w:rsid w:val="005B206B"/>
    <w:rsid w:val="005D0430"/>
    <w:rsid w:val="005E1BC3"/>
    <w:rsid w:val="005F12D5"/>
    <w:rsid w:val="005F2DFF"/>
    <w:rsid w:val="005F438D"/>
    <w:rsid w:val="005F504C"/>
    <w:rsid w:val="00603867"/>
    <w:rsid w:val="006111AA"/>
    <w:rsid w:val="00612C8A"/>
    <w:rsid w:val="00616C16"/>
    <w:rsid w:val="0062765C"/>
    <w:rsid w:val="00630E6F"/>
    <w:rsid w:val="00633039"/>
    <w:rsid w:val="00637C52"/>
    <w:rsid w:val="006408B7"/>
    <w:rsid w:val="00650A03"/>
    <w:rsid w:val="0065453C"/>
    <w:rsid w:val="00683B68"/>
    <w:rsid w:val="00692AF8"/>
    <w:rsid w:val="00693BE4"/>
    <w:rsid w:val="006A04BB"/>
    <w:rsid w:val="006A12BB"/>
    <w:rsid w:val="006A7332"/>
    <w:rsid w:val="006B6629"/>
    <w:rsid w:val="006C679E"/>
    <w:rsid w:val="006C69C7"/>
    <w:rsid w:val="006C7F40"/>
    <w:rsid w:val="006D51F3"/>
    <w:rsid w:val="006D6D85"/>
    <w:rsid w:val="006E4CBD"/>
    <w:rsid w:val="006E7DF1"/>
    <w:rsid w:val="006F589C"/>
    <w:rsid w:val="00700450"/>
    <w:rsid w:val="00704406"/>
    <w:rsid w:val="0071545A"/>
    <w:rsid w:val="00717B1F"/>
    <w:rsid w:val="00721605"/>
    <w:rsid w:val="007227C1"/>
    <w:rsid w:val="00722957"/>
    <w:rsid w:val="00727199"/>
    <w:rsid w:val="00731A96"/>
    <w:rsid w:val="00733D37"/>
    <w:rsid w:val="00742E91"/>
    <w:rsid w:val="007528A8"/>
    <w:rsid w:val="00757E5A"/>
    <w:rsid w:val="00770A20"/>
    <w:rsid w:val="00784CB8"/>
    <w:rsid w:val="007931D6"/>
    <w:rsid w:val="00793682"/>
    <w:rsid w:val="00793BD9"/>
    <w:rsid w:val="0079686C"/>
    <w:rsid w:val="007A4D69"/>
    <w:rsid w:val="007A60CA"/>
    <w:rsid w:val="007B2870"/>
    <w:rsid w:val="007D0304"/>
    <w:rsid w:val="007D4112"/>
    <w:rsid w:val="007D4B14"/>
    <w:rsid w:val="007D7910"/>
    <w:rsid w:val="007E006D"/>
    <w:rsid w:val="007F2598"/>
    <w:rsid w:val="007F5FF1"/>
    <w:rsid w:val="007F632C"/>
    <w:rsid w:val="0080034A"/>
    <w:rsid w:val="0080478D"/>
    <w:rsid w:val="00807723"/>
    <w:rsid w:val="008128A4"/>
    <w:rsid w:val="00816FFB"/>
    <w:rsid w:val="00820215"/>
    <w:rsid w:val="00820FE2"/>
    <w:rsid w:val="00833F35"/>
    <w:rsid w:val="008378D2"/>
    <w:rsid w:val="008420AF"/>
    <w:rsid w:val="0084621A"/>
    <w:rsid w:val="00846C67"/>
    <w:rsid w:val="00850102"/>
    <w:rsid w:val="00850955"/>
    <w:rsid w:val="00861ED1"/>
    <w:rsid w:val="00864BCC"/>
    <w:rsid w:val="0086637D"/>
    <w:rsid w:val="008734CB"/>
    <w:rsid w:val="00881B73"/>
    <w:rsid w:val="00882E10"/>
    <w:rsid w:val="00884CAE"/>
    <w:rsid w:val="00894F51"/>
    <w:rsid w:val="008B2E9F"/>
    <w:rsid w:val="008C2D24"/>
    <w:rsid w:val="008D7810"/>
    <w:rsid w:val="008E18C0"/>
    <w:rsid w:val="008E2E7C"/>
    <w:rsid w:val="008F0B33"/>
    <w:rsid w:val="008F24FC"/>
    <w:rsid w:val="00906F9D"/>
    <w:rsid w:val="00907ACA"/>
    <w:rsid w:val="009134DA"/>
    <w:rsid w:val="00920C80"/>
    <w:rsid w:val="00925163"/>
    <w:rsid w:val="00930C67"/>
    <w:rsid w:val="0094023A"/>
    <w:rsid w:val="00951745"/>
    <w:rsid w:val="00956CD0"/>
    <w:rsid w:val="00963F74"/>
    <w:rsid w:val="0096711E"/>
    <w:rsid w:val="00973E13"/>
    <w:rsid w:val="00982A3A"/>
    <w:rsid w:val="00984289"/>
    <w:rsid w:val="00985CC0"/>
    <w:rsid w:val="0098656C"/>
    <w:rsid w:val="0099593D"/>
    <w:rsid w:val="009A667C"/>
    <w:rsid w:val="009A66E3"/>
    <w:rsid w:val="009B1435"/>
    <w:rsid w:val="009C3D62"/>
    <w:rsid w:val="009C6AB6"/>
    <w:rsid w:val="009E5C20"/>
    <w:rsid w:val="009E6FEB"/>
    <w:rsid w:val="009F06CD"/>
    <w:rsid w:val="009F0791"/>
    <w:rsid w:val="009F435E"/>
    <w:rsid w:val="009F753A"/>
    <w:rsid w:val="009F794E"/>
    <w:rsid w:val="00A01F57"/>
    <w:rsid w:val="00A07FFE"/>
    <w:rsid w:val="00A11378"/>
    <w:rsid w:val="00A15EDA"/>
    <w:rsid w:val="00A205DE"/>
    <w:rsid w:val="00A2493E"/>
    <w:rsid w:val="00A26088"/>
    <w:rsid w:val="00A32F56"/>
    <w:rsid w:val="00A33191"/>
    <w:rsid w:val="00A40B3B"/>
    <w:rsid w:val="00A50477"/>
    <w:rsid w:val="00A56C17"/>
    <w:rsid w:val="00A57A6C"/>
    <w:rsid w:val="00A606F4"/>
    <w:rsid w:val="00A61054"/>
    <w:rsid w:val="00A644B3"/>
    <w:rsid w:val="00A66BB2"/>
    <w:rsid w:val="00A855BD"/>
    <w:rsid w:val="00A85CF0"/>
    <w:rsid w:val="00A95BA6"/>
    <w:rsid w:val="00AB538E"/>
    <w:rsid w:val="00AC0006"/>
    <w:rsid w:val="00AC1077"/>
    <w:rsid w:val="00AD087A"/>
    <w:rsid w:val="00AD76DD"/>
    <w:rsid w:val="00AE592A"/>
    <w:rsid w:val="00AE76D9"/>
    <w:rsid w:val="00AF1A35"/>
    <w:rsid w:val="00AF2D9E"/>
    <w:rsid w:val="00AF48B5"/>
    <w:rsid w:val="00AF7740"/>
    <w:rsid w:val="00B030C7"/>
    <w:rsid w:val="00B05246"/>
    <w:rsid w:val="00B05A15"/>
    <w:rsid w:val="00B11A32"/>
    <w:rsid w:val="00B16DD6"/>
    <w:rsid w:val="00B24506"/>
    <w:rsid w:val="00B32E83"/>
    <w:rsid w:val="00B3690B"/>
    <w:rsid w:val="00B37F07"/>
    <w:rsid w:val="00B444B2"/>
    <w:rsid w:val="00B45F27"/>
    <w:rsid w:val="00B5706E"/>
    <w:rsid w:val="00B572CB"/>
    <w:rsid w:val="00B75A74"/>
    <w:rsid w:val="00BA2EF0"/>
    <w:rsid w:val="00BA630E"/>
    <w:rsid w:val="00BB608B"/>
    <w:rsid w:val="00BC3ED5"/>
    <w:rsid w:val="00BC4835"/>
    <w:rsid w:val="00BC5F71"/>
    <w:rsid w:val="00BC6FA0"/>
    <w:rsid w:val="00BD0019"/>
    <w:rsid w:val="00BD3EF3"/>
    <w:rsid w:val="00BD4225"/>
    <w:rsid w:val="00BD5412"/>
    <w:rsid w:val="00BD7459"/>
    <w:rsid w:val="00BE76BB"/>
    <w:rsid w:val="00C02BD7"/>
    <w:rsid w:val="00C051A1"/>
    <w:rsid w:val="00C06228"/>
    <w:rsid w:val="00C17A0E"/>
    <w:rsid w:val="00C262ED"/>
    <w:rsid w:val="00C2791E"/>
    <w:rsid w:val="00C36718"/>
    <w:rsid w:val="00C4101D"/>
    <w:rsid w:val="00C41A0F"/>
    <w:rsid w:val="00C4283E"/>
    <w:rsid w:val="00C42BE8"/>
    <w:rsid w:val="00C47B03"/>
    <w:rsid w:val="00C47BED"/>
    <w:rsid w:val="00C613A4"/>
    <w:rsid w:val="00C63587"/>
    <w:rsid w:val="00C677AC"/>
    <w:rsid w:val="00C7040A"/>
    <w:rsid w:val="00C75447"/>
    <w:rsid w:val="00C831DD"/>
    <w:rsid w:val="00C8426C"/>
    <w:rsid w:val="00C90710"/>
    <w:rsid w:val="00C96ACD"/>
    <w:rsid w:val="00C97E6E"/>
    <w:rsid w:val="00CA2DEC"/>
    <w:rsid w:val="00CA3603"/>
    <w:rsid w:val="00CA5A79"/>
    <w:rsid w:val="00CB07FF"/>
    <w:rsid w:val="00CB203A"/>
    <w:rsid w:val="00CB79CD"/>
    <w:rsid w:val="00CC2294"/>
    <w:rsid w:val="00CC3B7E"/>
    <w:rsid w:val="00CC5EED"/>
    <w:rsid w:val="00CD183B"/>
    <w:rsid w:val="00CE0210"/>
    <w:rsid w:val="00CE2A40"/>
    <w:rsid w:val="00CE2AB9"/>
    <w:rsid w:val="00CE2F72"/>
    <w:rsid w:val="00CE3604"/>
    <w:rsid w:val="00CF5A43"/>
    <w:rsid w:val="00CF6609"/>
    <w:rsid w:val="00D123DC"/>
    <w:rsid w:val="00D15A84"/>
    <w:rsid w:val="00D166B5"/>
    <w:rsid w:val="00D20065"/>
    <w:rsid w:val="00D20D92"/>
    <w:rsid w:val="00D22A87"/>
    <w:rsid w:val="00D27478"/>
    <w:rsid w:val="00D430AF"/>
    <w:rsid w:val="00D71509"/>
    <w:rsid w:val="00D71D13"/>
    <w:rsid w:val="00D7554E"/>
    <w:rsid w:val="00D7601E"/>
    <w:rsid w:val="00D7684C"/>
    <w:rsid w:val="00D80916"/>
    <w:rsid w:val="00D83D18"/>
    <w:rsid w:val="00D83FB2"/>
    <w:rsid w:val="00D8795A"/>
    <w:rsid w:val="00D87BC0"/>
    <w:rsid w:val="00D92536"/>
    <w:rsid w:val="00D946DA"/>
    <w:rsid w:val="00DB570E"/>
    <w:rsid w:val="00DB758A"/>
    <w:rsid w:val="00DC2213"/>
    <w:rsid w:val="00DC3B61"/>
    <w:rsid w:val="00DD028A"/>
    <w:rsid w:val="00DD1053"/>
    <w:rsid w:val="00DD1A30"/>
    <w:rsid w:val="00DD4885"/>
    <w:rsid w:val="00DD5FBF"/>
    <w:rsid w:val="00DD719E"/>
    <w:rsid w:val="00DE081A"/>
    <w:rsid w:val="00DE09C1"/>
    <w:rsid w:val="00DE238D"/>
    <w:rsid w:val="00DE3363"/>
    <w:rsid w:val="00DE5D82"/>
    <w:rsid w:val="00DF136D"/>
    <w:rsid w:val="00DF5372"/>
    <w:rsid w:val="00E00884"/>
    <w:rsid w:val="00E06E4C"/>
    <w:rsid w:val="00E116B8"/>
    <w:rsid w:val="00E17169"/>
    <w:rsid w:val="00E26C9B"/>
    <w:rsid w:val="00E30619"/>
    <w:rsid w:val="00E408A6"/>
    <w:rsid w:val="00E41AD0"/>
    <w:rsid w:val="00E41DDC"/>
    <w:rsid w:val="00E472F0"/>
    <w:rsid w:val="00E52BB4"/>
    <w:rsid w:val="00E605D7"/>
    <w:rsid w:val="00E8205C"/>
    <w:rsid w:val="00E824C1"/>
    <w:rsid w:val="00E84B4D"/>
    <w:rsid w:val="00EA2325"/>
    <w:rsid w:val="00EA4680"/>
    <w:rsid w:val="00EA553B"/>
    <w:rsid w:val="00EB0180"/>
    <w:rsid w:val="00EB0DD1"/>
    <w:rsid w:val="00EB42D5"/>
    <w:rsid w:val="00EC547F"/>
    <w:rsid w:val="00EC6CE3"/>
    <w:rsid w:val="00ED1A17"/>
    <w:rsid w:val="00ED7D54"/>
    <w:rsid w:val="00EE1FC3"/>
    <w:rsid w:val="00F103D2"/>
    <w:rsid w:val="00F117A8"/>
    <w:rsid w:val="00F15A42"/>
    <w:rsid w:val="00F2034D"/>
    <w:rsid w:val="00F2290D"/>
    <w:rsid w:val="00F3068F"/>
    <w:rsid w:val="00F30FCC"/>
    <w:rsid w:val="00F37570"/>
    <w:rsid w:val="00F508BE"/>
    <w:rsid w:val="00F50E82"/>
    <w:rsid w:val="00F661A5"/>
    <w:rsid w:val="00F70A11"/>
    <w:rsid w:val="00F70CD2"/>
    <w:rsid w:val="00F76B17"/>
    <w:rsid w:val="00F774ED"/>
    <w:rsid w:val="00F81279"/>
    <w:rsid w:val="00F82491"/>
    <w:rsid w:val="00F860EB"/>
    <w:rsid w:val="00F874D4"/>
    <w:rsid w:val="00F92639"/>
    <w:rsid w:val="00FB245B"/>
    <w:rsid w:val="00FB455A"/>
    <w:rsid w:val="00FC050B"/>
    <w:rsid w:val="00FC050F"/>
    <w:rsid w:val="00FE3308"/>
    <w:rsid w:val="00FE62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FCB6DBC"/>
  <w15:docId w15:val="{8A56D0F8-30C8-46C7-B772-9A2A25C9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90D"/>
    <w:pPr>
      <w:bidi/>
    </w:pPr>
    <w:rPr>
      <w:szCs w:val="24"/>
    </w:rPr>
  </w:style>
  <w:style w:type="paragraph" w:styleId="Heading1">
    <w:name w:val="heading 1"/>
    <w:basedOn w:val="Normal"/>
    <w:next w:val="Normal"/>
    <w:link w:val="Heading1Char"/>
    <w:qFormat/>
    <w:pPr>
      <w:keepNext/>
      <w:bidi w:val="0"/>
      <w:jc w:val="center"/>
      <w:outlineLvl w:val="0"/>
    </w:pPr>
    <w:rPr>
      <w:rFonts w:ascii="Bookman Old Style" w:hAnsi="Bookman Old Style"/>
      <w:b/>
      <w:bCs/>
      <w:sz w:val="24"/>
    </w:rPr>
  </w:style>
  <w:style w:type="paragraph" w:styleId="Heading2">
    <w:name w:val="heading 2"/>
    <w:basedOn w:val="Normal"/>
    <w:next w:val="Normal"/>
    <w:qFormat/>
    <w:pPr>
      <w:keepNext/>
      <w:bidi w:val="0"/>
      <w:jc w:val="center"/>
      <w:outlineLvl w:val="1"/>
    </w:pPr>
    <w:rPr>
      <w:rFonts w:ascii="Bookman Old Style" w:hAnsi="Bookman Old Style"/>
      <w:b/>
      <w:bCs/>
      <w:sz w:val="24"/>
      <w:u w:val="single"/>
    </w:rPr>
  </w:style>
  <w:style w:type="paragraph" w:styleId="Heading5">
    <w:name w:val="heading 5"/>
    <w:basedOn w:val="Normal"/>
    <w:next w:val="Normal"/>
    <w:qFormat/>
    <w:rsid w:val="0049137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bidi w:val="0"/>
      <w:jc w:val="center"/>
    </w:pPr>
    <w:rPr>
      <w:rFonts w:ascii="Bookman Old Style" w:hAnsi="Bookman Old Style"/>
      <w:sz w:val="24"/>
    </w:rPr>
  </w:style>
  <w:style w:type="paragraph" w:styleId="Subtitle">
    <w:name w:val="Subtitle"/>
    <w:basedOn w:val="Normal"/>
    <w:qFormat/>
    <w:pPr>
      <w:bidi w:val="0"/>
      <w:jc w:val="center"/>
    </w:pPr>
    <w:rPr>
      <w:rFonts w:ascii="Bookman Old Style" w:hAnsi="Bookman Old Style"/>
      <w:b/>
      <w:bCs/>
      <w:sz w:val="24"/>
    </w:rPr>
  </w:style>
  <w:style w:type="paragraph" w:styleId="BodyText">
    <w:name w:val="Body Text"/>
    <w:basedOn w:val="Normal"/>
    <w:pPr>
      <w:bidi w:val="0"/>
      <w:jc w:val="lowKashida"/>
    </w:pPr>
    <w:rPr>
      <w:rFonts w:ascii="Bookman Old Style" w:hAnsi="Bookman Old Style"/>
      <w:sz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sid w:val="00CE0210"/>
    <w:rPr>
      <w:rFonts w:ascii="Tahoma" w:hAnsi="Tahoma" w:cs="Tahoma"/>
      <w:sz w:val="16"/>
      <w:szCs w:val="16"/>
    </w:rPr>
  </w:style>
  <w:style w:type="paragraph" w:styleId="BlockText">
    <w:name w:val="Block Text"/>
    <w:basedOn w:val="Normal"/>
    <w:rsid w:val="00D80916"/>
    <w:pPr>
      <w:ind w:left="1701" w:right="1134" w:hanging="426"/>
      <w:jc w:val="lowKashida"/>
    </w:pPr>
    <w:rPr>
      <w:rFonts w:cs="Times New Roman"/>
      <w:szCs w:val="20"/>
    </w:rPr>
  </w:style>
  <w:style w:type="table" w:styleId="TableGrid">
    <w:name w:val="Table Grid"/>
    <w:basedOn w:val="TableNormal"/>
    <w:rsid w:val="00D8091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5F2DFF"/>
    <w:pPr>
      <w:bidi w:val="0"/>
      <w:spacing w:after="120" w:line="480" w:lineRule="auto"/>
      <w:ind w:left="283"/>
    </w:pPr>
    <w:rPr>
      <w:rFonts w:cs="Arabic Transparent"/>
      <w:szCs w:val="28"/>
    </w:rPr>
  </w:style>
  <w:style w:type="character" w:styleId="Hyperlink">
    <w:name w:val="Hyperlink"/>
    <w:rsid w:val="00D430AF"/>
    <w:rPr>
      <w:color w:val="0000FF"/>
      <w:u w:val="single"/>
    </w:rPr>
  </w:style>
  <w:style w:type="paragraph" w:styleId="BodyTextIndent3">
    <w:name w:val="Body Text Indent 3"/>
    <w:basedOn w:val="Normal"/>
    <w:rsid w:val="00DD4885"/>
    <w:pPr>
      <w:spacing w:after="120"/>
      <w:ind w:left="283"/>
    </w:pPr>
    <w:rPr>
      <w:sz w:val="16"/>
      <w:szCs w:val="16"/>
    </w:rPr>
  </w:style>
  <w:style w:type="character" w:customStyle="1" w:styleId="HeaderChar">
    <w:name w:val="Header Char"/>
    <w:link w:val="Header"/>
    <w:semiHidden/>
    <w:locked/>
    <w:rsid w:val="0030544B"/>
    <w:rPr>
      <w:rFonts w:cs="Traditional Arabic"/>
      <w:szCs w:val="24"/>
      <w:lang w:val="en-US" w:eastAsia="en-US" w:bidi="ar-SA"/>
    </w:rPr>
  </w:style>
  <w:style w:type="character" w:customStyle="1" w:styleId="CharChar">
    <w:name w:val="Char Char"/>
    <w:semiHidden/>
    <w:locked/>
    <w:rsid w:val="005F438D"/>
    <w:rPr>
      <w:rFonts w:cs="Traditional Arabic"/>
      <w:szCs w:val="24"/>
      <w:lang w:val="en-US" w:eastAsia="en-US" w:bidi="ar-SA"/>
    </w:rPr>
  </w:style>
  <w:style w:type="character" w:customStyle="1" w:styleId="CharChar0">
    <w:name w:val="Char Char"/>
    <w:semiHidden/>
    <w:locked/>
    <w:rsid w:val="002C1A4A"/>
    <w:rPr>
      <w:rFonts w:ascii="Traditional Arabic" w:hAnsi="Traditional Arabic" w:cs="Traditional Arabic"/>
      <w:szCs w:val="24"/>
      <w:lang w:val="en-US" w:eastAsia="en-US" w:bidi="ar-SA"/>
    </w:rPr>
  </w:style>
  <w:style w:type="character" w:customStyle="1" w:styleId="FooterChar">
    <w:name w:val="Footer Char"/>
    <w:basedOn w:val="DefaultParagraphFont"/>
    <w:link w:val="Footer"/>
    <w:rsid w:val="005D0430"/>
    <w:rPr>
      <w:szCs w:val="24"/>
    </w:rPr>
  </w:style>
  <w:style w:type="paragraph" w:styleId="ListParagraph">
    <w:name w:val="List Paragraph"/>
    <w:basedOn w:val="Normal"/>
    <w:uiPriority w:val="34"/>
    <w:qFormat/>
    <w:rsid w:val="00973E13"/>
    <w:pPr>
      <w:ind w:left="720"/>
    </w:pPr>
  </w:style>
  <w:style w:type="character" w:customStyle="1" w:styleId="Heading1Char">
    <w:name w:val="Heading 1 Char"/>
    <w:basedOn w:val="DefaultParagraphFont"/>
    <w:link w:val="Heading1"/>
    <w:rsid w:val="00E605D7"/>
    <w:rPr>
      <w:rFonts w:ascii="Bookman Old Style" w:hAnsi="Bookman Old Style"/>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143835">
      <w:bodyDiv w:val="1"/>
      <w:marLeft w:val="0"/>
      <w:marRight w:val="0"/>
      <w:marTop w:val="0"/>
      <w:marBottom w:val="0"/>
      <w:divBdr>
        <w:top w:val="none" w:sz="0" w:space="0" w:color="auto"/>
        <w:left w:val="none" w:sz="0" w:space="0" w:color="auto"/>
        <w:bottom w:val="none" w:sz="0" w:space="0" w:color="auto"/>
        <w:right w:val="none" w:sz="0" w:space="0" w:color="auto"/>
      </w:divBdr>
    </w:div>
    <w:div w:id="686906334">
      <w:bodyDiv w:val="1"/>
      <w:marLeft w:val="0"/>
      <w:marRight w:val="0"/>
      <w:marTop w:val="0"/>
      <w:marBottom w:val="0"/>
      <w:divBdr>
        <w:top w:val="none" w:sz="0" w:space="0" w:color="auto"/>
        <w:left w:val="none" w:sz="0" w:space="0" w:color="auto"/>
        <w:bottom w:val="none" w:sz="0" w:space="0" w:color="auto"/>
        <w:right w:val="none" w:sz="0" w:space="0" w:color="auto"/>
      </w:divBdr>
    </w:div>
    <w:div w:id="839275998">
      <w:bodyDiv w:val="1"/>
      <w:marLeft w:val="0"/>
      <w:marRight w:val="0"/>
      <w:marTop w:val="0"/>
      <w:marBottom w:val="0"/>
      <w:divBdr>
        <w:top w:val="none" w:sz="0" w:space="0" w:color="auto"/>
        <w:left w:val="none" w:sz="0" w:space="0" w:color="auto"/>
        <w:bottom w:val="none" w:sz="0" w:space="0" w:color="auto"/>
        <w:right w:val="none" w:sz="0" w:space="0" w:color="auto"/>
      </w:divBdr>
    </w:div>
    <w:div w:id="1169565877">
      <w:bodyDiv w:val="1"/>
      <w:marLeft w:val="0"/>
      <w:marRight w:val="0"/>
      <w:marTop w:val="0"/>
      <w:marBottom w:val="0"/>
      <w:divBdr>
        <w:top w:val="none" w:sz="0" w:space="0" w:color="auto"/>
        <w:left w:val="none" w:sz="0" w:space="0" w:color="auto"/>
        <w:bottom w:val="none" w:sz="0" w:space="0" w:color="auto"/>
        <w:right w:val="none" w:sz="0" w:space="0" w:color="auto"/>
      </w:divBdr>
    </w:div>
    <w:div w:id="1273782016">
      <w:bodyDiv w:val="1"/>
      <w:marLeft w:val="0"/>
      <w:marRight w:val="0"/>
      <w:marTop w:val="0"/>
      <w:marBottom w:val="0"/>
      <w:divBdr>
        <w:top w:val="none" w:sz="0" w:space="0" w:color="auto"/>
        <w:left w:val="none" w:sz="0" w:space="0" w:color="auto"/>
        <w:bottom w:val="none" w:sz="0" w:space="0" w:color="auto"/>
        <w:right w:val="none" w:sz="0" w:space="0" w:color="auto"/>
      </w:divBdr>
    </w:div>
    <w:div w:id="1370567453">
      <w:bodyDiv w:val="1"/>
      <w:marLeft w:val="0"/>
      <w:marRight w:val="0"/>
      <w:marTop w:val="0"/>
      <w:marBottom w:val="0"/>
      <w:divBdr>
        <w:top w:val="none" w:sz="0" w:space="0" w:color="auto"/>
        <w:left w:val="none" w:sz="0" w:space="0" w:color="auto"/>
        <w:bottom w:val="none" w:sz="0" w:space="0" w:color="auto"/>
        <w:right w:val="none" w:sz="0" w:space="0" w:color="auto"/>
      </w:divBdr>
    </w:div>
    <w:div w:id="1535776673">
      <w:bodyDiv w:val="1"/>
      <w:marLeft w:val="0"/>
      <w:marRight w:val="0"/>
      <w:marTop w:val="0"/>
      <w:marBottom w:val="0"/>
      <w:divBdr>
        <w:top w:val="none" w:sz="0" w:space="0" w:color="auto"/>
        <w:left w:val="none" w:sz="0" w:space="0" w:color="auto"/>
        <w:bottom w:val="none" w:sz="0" w:space="0" w:color="auto"/>
        <w:right w:val="none" w:sz="0" w:space="0" w:color="auto"/>
      </w:divBdr>
    </w:div>
    <w:div w:id="1734502617">
      <w:bodyDiv w:val="1"/>
      <w:marLeft w:val="0"/>
      <w:marRight w:val="0"/>
      <w:marTop w:val="0"/>
      <w:marBottom w:val="0"/>
      <w:divBdr>
        <w:top w:val="none" w:sz="0" w:space="0" w:color="auto"/>
        <w:left w:val="none" w:sz="0" w:space="0" w:color="auto"/>
        <w:bottom w:val="none" w:sz="0" w:space="0" w:color="auto"/>
        <w:right w:val="none" w:sz="0" w:space="0" w:color="auto"/>
      </w:divBdr>
    </w:div>
    <w:div w:id="206151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7F7B2-DB5D-4A4E-AA7E-880D9560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Republic of Lebanon</vt:lpstr>
    </vt:vector>
  </TitlesOfParts>
  <Company>C D R</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Lebanon</dc:title>
  <dc:creator>Helene Chalhoub</dc:creator>
  <cp:lastModifiedBy>Ghinwa Haddad</cp:lastModifiedBy>
  <cp:revision>4</cp:revision>
  <cp:lastPrinted>2020-07-03T08:36:00Z</cp:lastPrinted>
  <dcterms:created xsi:type="dcterms:W3CDTF">2023-02-01T08:09:00Z</dcterms:created>
  <dcterms:modified xsi:type="dcterms:W3CDTF">2023-02-01T08:18:00Z</dcterms:modified>
</cp:coreProperties>
</file>