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145" w:rsidRDefault="00590145" w:rsidP="00430C2B">
      <w:pPr>
        <w:pStyle w:val="NormalWeb"/>
        <w:spacing w:before="0" w:beforeAutospacing="0"/>
        <w:jc w:val="center"/>
        <w:rPr>
          <w:rStyle w:val="Strong"/>
        </w:rPr>
      </w:pPr>
    </w:p>
    <w:p w:rsidR="009D056F" w:rsidRPr="00925013" w:rsidRDefault="009D056F" w:rsidP="00430C2B">
      <w:pPr>
        <w:pStyle w:val="NormalWeb"/>
        <w:spacing w:before="0" w:beforeAutospacing="0"/>
        <w:jc w:val="center"/>
        <w:rPr>
          <w:sz w:val="28"/>
          <w:szCs w:val="28"/>
        </w:rPr>
      </w:pPr>
      <w:r w:rsidRPr="00925013">
        <w:rPr>
          <w:rStyle w:val="Strong"/>
          <w:sz w:val="28"/>
          <w:szCs w:val="28"/>
        </w:rPr>
        <w:t>REQUEST FOR EXPRESSIONS OF INTEREST</w:t>
      </w:r>
    </w:p>
    <w:p w:rsidR="00430C2B" w:rsidRPr="002A6A32" w:rsidRDefault="009D056F" w:rsidP="00430C2B">
      <w:pPr>
        <w:pStyle w:val="NormalWeb"/>
        <w:spacing w:before="0" w:beforeAutospacing="0" w:after="0" w:afterAutospacing="0"/>
        <w:ind w:left="2160" w:hanging="2160"/>
        <w:rPr>
          <w:rStyle w:val="Strong"/>
          <w:sz w:val="28"/>
          <w:szCs w:val="28"/>
        </w:rPr>
      </w:pPr>
      <w:r w:rsidRPr="002A6A32">
        <w:rPr>
          <w:rStyle w:val="Strong"/>
          <w:sz w:val="28"/>
          <w:szCs w:val="28"/>
        </w:rPr>
        <w:t>Republic of Lebanon</w:t>
      </w:r>
    </w:p>
    <w:p w:rsidR="00430C2B" w:rsidRPr="002A6A32" w:rsidRDefault="009D056F" w:rsidP="00430C2B">
      <w:pPr>
        <w:pStyle w:val="NormalWeb"/>
        <w:spacing w:before="0" w:beforeAutospacing="0" w:after="0" w:afterAutospacing="0"/>
        <w:ind w:left="2160" w:hanging="2160"/>
        <w:rPr>
          <w:rStyle w:val="Strong"/>
          <w:sz w:val="28"/>
          <w:szCs w:val="28"/>
        </w:rPr>
      </w:pPr>
      <w:r w:rsidRPr="002A6A32">
        <w:rPr>
          <w:rStyle w:val="Strong"/>
          <w:sz w:val="28"/>
          <w:szCs w:val="28"/>
        </w:rPr>
        <w:t xml:space="preserve">Lake </w:t>
      </w:r>
      <w:proofErr w:type="spellStart"/>
      <w:r w:rsidRPr="002A6A32">
        <w:rPr>
          <w:rStyle w:val="Strong"/>
          <w:sz w:val="28"/>
          <w:szCs w:val="28"/>
        </w:rPr>
        <w:t>Qaraoun</w:t>
      </w:r>
      <w:proofErr w:type="spellEnd"/>
      <w:r w:rsidRPr="002A6A32">
        <w:rPr>
          <w:rStyle w:val="Strong"/>
          <w:sz w:val="28"/>
          <w:szCs w:val="28"/>
        </w:rPr>
        <w:t xml:space="preserve"> Pollution Prevention Project</w:t>
      </w:r>
    </w:p>
    <w:p w:rsidR="00430C2B" w:rsidRPr="002A6A32" w:rsidRDefault="009D056F" w:rsidP="00430C2B">
      <w:pPr>
        <w:pStyle w:val="NormalWeb"/>
        <w:spacing w:before="0" w:beforeAutospacing="0" w:after="0" w:afterAutospacing="0"/>
        <w:ind w:left="2160" w:hanging="2160"/>
        <w:rPr>
          <w:rStyle w:val="Strong"/>
          <w:sz w:val="28"/>
          <w:szCs w:val="28"/>
        </w:rPr>
      </w:pPr>
      <w:r w:rsidRPr="002A6A32">
        <w:rPr>
          <w:rStyle w:val="Strong"/>
          <w:sz w:val="28"/>
          <w:szCs w:val="28"/>
        </w:rPr>
        <w:t xml:space="preserve">Loan </w:t>
      </w:r>
      <w:r w:rsidR="00430C2B" w:rsidRPr="002A6A32">
        <w:rPr>
          <w:rStyle w:val="Strong"/>
          <w:sz w:val="28"/>
          <w:szCs w:val="28"/>
        </w:rPr>
        <w:t>№:</w:t>
      </w:r>
      <w:r w:rsidR="007B0CD6" w:rsidRPr="002A6A32">
        <w:rPr>
          <w:rStyle w:val="Strong"/>
          <w:sz w:val="28"/>
          <w:szCs w:val="28"/>
        </w:rPr>
        <w:t xml:space="preserve"> </w:t>
      </w:r>
      <w:r w:rsidRPr="002A6A32">
        <w:rPr>
          <w:rStyle w:val="Strong"/>
          <w:sz w:val="28"/>
          <w:szCs w:val="28"/>
        </w:rPr>
        <w:t>8637-LB</w:t>
      </w:r>
    </w:p>
    <w:p w:rsidR="00430C2B" w:rsidRPr="002A6A32" w:rsidRDefault="00430C2B" w:rsidP="00430C2B">
      <w:pPr>
        <w:pStyle w:val="NormalWeb"/>
        <w:spacing w:before="0" w:beforeAutospacing="0" w:after="0" w:afterAutospacing="0"/>
        <w:ind w:left="2160" w:hanging="2160"/>
        <w:rPr>
          <w:rStyle w:val="Strong"/>
          <w:sz w:val="28"/>
          <w:szCs w:val="28"/>
        </w:rPr>
      </w:pPr>
    </w:p>
    <w:p w:rsidR="009C1964" w:rsidRPr="002A6A32" w:rsidRDefault="00430C2B" w:rsidP="002A6A32">
      <w:pPr>
        <w:pStyle w:val="NormalWeb"/>
        <w:spacing w:before="0" w:beforeAutospacing="0" w:after="0" w:afterAutospacing="0"/>
        <w:ind w:left="1800" w:hanging="1800"/>
        <w:jc w:val="both"/>
        <w:rPr>
          <w:rStyle w:val="Strong"/>
          <w:sz w:val="28"/>
          <w:szCs w:val="28"/>
        </w:rPr>
      </w:pPr>
      <w:r w:rsidRPr="002A6A32">
        <w:rPr>
          <w:rStyle w:val="Strong"/>
          <w:sz w:val="28"/>
          <w:szCs w:val="28"/>
        </w:rPr>
        <w:t>Contract</w:t>
      </w:r>
      <w:r w:rsidR="009D056F" w:rsidRPr="002A6A32">
        <w:rPr>
          <w:rStyle w:val="Strong"/>
          <w:sz w:val="28"/>
          <w:szCs w:val="28"/>
        </w:rPr>
        <w:t xml:space="preserve"> Title: </w:t>
      </w:r>
      <w:r w:rsidRPr="002A6A32">
        <w:rPr>
          <w:b/>
          <w:bCs/>
          <w:sz w:val="28"/>
          <w:szCs w:val="28"/>
        </w:rPr>
        <w:t xml:space="preserve">Supervision Services for the Construction of the Remaining Works Related to the Expansion of Sewage Networks to Connect to </w:t>
      </w:r>
      <w:proofErr w:type="spellStart"/>
      <w:r w:rsidRPr="002A6A32">
        <w:rPr>
          <w:b/>
          <w:bCs/>
          <w:sz w:val="28"/>
          <w:szCs w:val="28"/>
        </w:rPr>
        <w:t>Zahlé</w:t>
      </w:r>
      <w:proofErr w:type="spellEnd"/>
      <w:r w:rsidRPr="002A6A32">
        <w:rPr>
          <w:b/>
          <w:bCs/>
          <w:sz w:val="28"/>
          <w:szCs w:val="28"/>
        </w:rPr>
        <w:t xml:space="preserve"> and to </w:t>
      </w:r>
      <w:proofErr w:type="spellStart"/>
      <w:r w:rsidRPr="002A6A32">
        <w:rPr>
          <w:b/>
          <w:bCs/>
          <w:sz w:val="28"/>
          <w:szCs w:val="28"/>
        </w:rPr>
        <w:t>Aitanit</w:t>
      </w:r>
      <w:proofErr w:type="spellEnd"/>
      <w:r w:rsidRPr="002A6A32">
        <w:rPr>
          <w:b/>
          <w:bCs/>
          <w:sz w:val="28"/>
          <w:szCs w:val="28"/>
        </w:rPr>
        <w:t xml:space="preserve"> WWTP and for the Design &amp; Construction of Sludge Solar Dryers for </w:t>
      </w:r>
      <w:proofErr w:type="spellStart"/>
      <w:r w:rsidRPr="002A6A32">
        <w:rPr>
          <w:b/>
          <w:bCs/>
          <w:sz w:val="28"/>
          <w:szCs w:val="28"/>
        </w:rPr>
        <w:t>Zahlé</w:t>
      </w:r>
      <w:proofErr w:type="spellEnd"/>
      <w:r w:rsidRPr="002A6A32">
        <w:rPr>
          <w:b/>
          <w:bCs/>
          <w:sz w:val="28"/>
          <w:szCs w:val="28"/>
        </w:rPr>
        <w:t xml:space="preserve"> WWTP</w:t>
      </w:r>
    </w:p>
    <w:p w:rsidR="004F3203" w:rsidRPr="002A6A32" w:rsidRDefault="004F3203" w:rsidP="004F3203">
      <w:pPr>
        <w:pStyle w:val="NormalWeb"/>
        <w:spacing w:before="0" w:beforeAutospacing="0" w:after="0" w:afterAutospacing="0"/>
        <w:rPr>
          <w:rStyle w:val="Strong"/>
          <w:sz w:val="28"/>
          <w:szCs w:val="28"/>
        </w:rPr>
      </w:pPr>
    </w:p>
    <w:p w:rsidR="009D056F" w:rsidRPr="002A6A32" w:rsidRDefault="009D056F" w:rsidP="00430C2B">
      <w:pPr>
        <w:pStyle w:val="NormalWeb"/>
        <w:spacing w:before="0" w:beforeAutospacing="0" w:after="0" w:afterAutospacing="0"/>
        <w:ind w:left="1800" w:hanging="1800"/>
        <w:rPr>
          <w:sz w:val="28"/>
          <w:szCs w:val="28"/>
        </w:rPr>
      </w:pPr>
      <w:r w:rsidRPr="002A6A32">
        <w:rPr>
          <w:rStyle w:val="Strong"/>
          <w:sz w:val="28"/>
          <w:szCs w:val="28"/>
        </w:rPr>
        <w:t xml:space="preserve">Reference </w:t>
      </w:r>
      <w:r w:rsidR="00430C2B" w:rsidRPr="002A6A32">
        <w:rPr>
          <w:rStyle w:val="Strong"/>
          <w:sz w:val="28"/>
          <w:szCs w:val="28"/>
        </w:rPr>
        <w:t>№</w:t>
      </w:r>
      <w:r w:rsidRPr="002A6A32">
        <w:rPr>
          <w:rStyle w:val="Strong"/>
          <w:sz w:val="28"/>
          <w:szCs w:val="28"/>
        </w:rPr>
        <w:t>:</w:t>
      </w:r>
      <w:r w:rsidR="009C1964" w:rsidRPr="002A6A32">
        <w:rPr>
          <w:rStyle w:val="Strong"/>
          <w:sz w:val="28"/>
          <w:szCs w:val="28"/>
        </w:rPr>
        <w:tab/>
      </w:r>
      <w:r w:rsidR="00430C2B" w:rsidRPr="002A6A32">
        <w:rPr>
          <w:b/>
          <w:bCs/>
          <w:sz w:val="28"/>
          <w:szCs w:val="28"/>
        </w:rPr>
        <w:t>QC1C1b</w:t>
      </w:r>
    </w:p>
    <w:p w:rsidR="009D056F" w:rsidRPr="00E11DC8" w:rsidRDefault="009D056F" w:rsidP="00A22443">
      <w:pPr>
        <w:pStyle w:val="NormalWeb"/>
        <w:jc w:val="both"/>
      </w:pPr>
      <w:r w:rsidRPr="00E11DC8">
        <w:t xml:space="preserve">The Government of Lebanon has received financing from the </w:t>
      </w:r>
      <w:r w:rsidR="00DC4558" w:rsidRPr="00B55B18">
        <w:t>International Bank for Reconstruction and Development (IBRD)</w:t>
      </w:r>
      <w:r w:rsidR="004A49CE">
        <w:t xml:space="preserve"> </w:t>
      </w:r>
      <w:r w:rsidRPr="00E11DC8">
        <w:t xml:space="preserve">toward the cost of the Lake </w:t>
      </w:r>
      <w:proofErr w:type="spellStart"/>
      <w:r w:rsidRPr="00E11DC8">
        <w:t>Qaraoun</w:t>
      </w:r>
      <w:proofErr w:type="spellEnd"/>
      <w:r w:rsidRPr="00E11DC8">
        <w:t xml:space="preserve"> Pollution Prevention Project and intends to apply part of the proceeds for the cost of the consulting services</w:t>
      </w:r>
      <w:r w:rsidR="00A22443">
        <w:t xml:space="preserve"> (the Services)</w:t>
      </w:r>
      <w:r w:rsidRPr="00E11DC8">
        <w:t xml:space="preserve">. </w:t>
      </w:r>
    </w:p>
    <w:p w:rsidR="00A22443" w:rsidRDefault="009D056F" w:rsidP="0048174D">
      <w:pPr>
        <w:pStyle w:val="NormalWeb"/>
        <w:jc w:val="both"/>
      </w:pPr>
      <w:r w:rsidRPr="00E11DC8">
        <w:t xml:space="preserve">The project includes, among other </w:t>
      </w:r>
      <w:r>
        <w:t>components</w:t>
      </w:r>
      <w:r w:rsidRPr="00E11DC8">
        <w:t xml:space="preserve">, </w:t>
      </w:r>
      <w:r w:rsidR="0048174D">
        <w:t>the “</w:t>
      </w:r>
      <w:r w:rsidR="0048174D" w:rsidRPr="0048174D">
        <w:rPr>
          <w:b/>
          <w:color w:val="44546A"/>
        </w:rPr>
        <w:t xml:space="preserve">Construction of the Remaining Works Related to the Expansion of Sewage Networks to Connect to </w:t>
      </w:r>
      <w:proofErr w:type="spellStart"/>
      <w:r w:rsidR="0048174D" w:rsidRPr="0048174D">
        <w:rPr>
          <w:b/>
          <w:color w:val="44546A"/>
        </w:rPr>
        <w:t>Zahlé</w:t>
      </w:r>
      <w:proofErr w:type="spellEnd"/>
      <w:r w:rsidR="0048174D" w:rsidRPr="0048174D">
        <w:rPr>
          <w:b/>
          <w:color w:val="44546A"/>
        </w:rPr>
        <w:t xml:space="preserve"> and to </w:t>
      </w:r>
      <w:proofErr w:type="spellStart"/>
      <w:r w:rsidR="0048174D" w:rsidRPr="0048174D">
        <w:rPr>
          <w:b/>
          <w:color w:val="44546A"/>
        </w:rPr>
        <w:t>Aitanit</w:t>
      </w:r>
      <w:proofErr w:type="spellEnd"/>
      <w:r w:rsidR="0048174D" w:rsidRPr="0048174D">
        <w:rPr>
          <w:b/>
          <w:color w:val="44546A"/>
        </w:rPr>
        <w:t xml:space="preserve"> Wastewater Treatment Plants (QC1W1a)</w:t>
      </w:r>
      <w:r w:rsidR="0048174D">
        <w:t>” and the “</w:t>
      </w:r>
      <w:r w:rsidR="0048174D" w:rsidRPr="0048174D">
        <w:rPr>
          <w:b/>
          <w:color w:val="44546A"/>
        </w:rPr>
        <w:t xml:space="preserve">Design and Construction of Sludge Solar Dryers for </w:t>
      </w:r>
      <w:proofErr w:type="spellStart"/>
      <w:r w:rsidR="0048174D" w:rsidRPr="0048174D">
        <w:rPr>
          <w:b/>
          <w:color w:val="44546A"/>
        </w:rPr>
        <w:t>Zahlé</w:t>
      </w:r>
      <w:proofErr w:type="spellEnd"/>
      <w:r w:rsidR="0048174D" w:rsidRPr="0048174D">
        <w:rPr>
          <w:b/>
          <w:color w:val="44546A"/>
        </w:rPr>
        <w:t xml:space="preserve"> WWTP (QC1W5)</w:t>
      </w:r>
      <w:r w:rsidR="0048174D">
        <w:t>”</w:t>
      </w:r>
      <w:r w:rsidRPr="00E11DC8">
        <w:t>.</w:t>
      </w:r>
    </w:p>
    <w:p w:rsidR="0048174D" w:rsidRDefault="0048174D" w:rsidP="0048174D">
      <w:pPr>
        <w:spacing w:before="240"/>
        <w:jc w:val="both"/>
        <w:rPr>
          <w:spacing w:val="-2"/>
        </w:rPr>
      </w:pPr>
      <w:r>
        <w:t>The Works required in the “</w:t>
      </w:r>
      <w:r w:rsidRPr="0048174D">
        <w:rPr>
          <w:b/>
          <w:color w:val="44546A"/>
        </w:rPr>
        <w:t xml:space="preserve">Construction of the Remaining Works Related to the Expansion of Sewage Networks to Connect to </w:t>
      </w:r>
      <w:proofErr w:type="spellStart"/>
      <w:r w:rsidRPr="0048174D">
        <w:rPr>
          <w:b/>
          <w:color w:val="44546A"/>
        </w:rPr>
        <w:t>Zahlé</w:t>
      </w:r>
      <w:proofErr w:type="spellEnd"/>
      <w:r w:rsidRPr="0048174D">
        <w:rPr>
          <w:b/>
          <w:color w:val="44546A"/>
        </w:rPr>
        <w:t xml:space="preserve"> and to </w:t>
      </w:r>
      <w:proofErr w:type="spellStart"/>
      <w:r w:rsidRPr="0048174D">
        <w:rPr>
          <w:b/>
          <w:color w:val="44546A"/>
        </w:rPr>
        <w:t>Aitanit</w:t>
      </w:r>
      <w:proofErr w:type="spellEnd"/>
      <w:r w:rsidRPr="0048174D">
        <w:rPr>
          <w:b/>
          <w:color w:val="44546A"/>
        </w:rPr>
        <w:t xml:space="preserve"> Wastewater Treatment Plants</w:t>
      </w:r>
      <w:r>
        <w:rPr>
          <w:color w:val="000000"/>
        </w:rPr>
        <w:t xml:space="preserve"> </w:t>
      </w:r>
      <w:r w:rsidRPr="0048174D">
        <w:rPr>
          <w:b/>
          <w:color w:val="44546A"/>
        </w:rPr>
        <w:t>(QC1W1a)</w:t>
      </w:r>
      <w:r>
        <w:rPr>
          <w:color w:val="000000"/>
        </w:rPr>
        <w:t>”</w:t>
      </w:r>
      <w:r w:rsidRPr="001A3D5D">
        <w:rPr>
          <w:color w:val="000000"/>
        </w:rPr>
        <w:t xml:space="preserve"> </w:t>
      </w:r>
      <w:r>
        <w:rPr>
          <w:spacing w:val="-2"/>
        </w:rPr>
        <w:t xml:space="preserve">comprise the </w:t>
      </w:r>
      <w:r w:rsidRPr="00B01903">
        <w:rPr>
          <w:spacing w:val="-2"/>
        </w:rPr>
        <w:t>execution of the following</w:t>
      </w:r>
      <w:r w:rsidRPr="00176532">
        <w:rPr>
          <w:spacing w:val="-2"/>
        </w:rPr>
        <w:t xml:space="preserve"> parts:</w:t>
      </w:r>
    </w:p>
    <w:p w:rsidR="0048174D" w:rsidRDefault="0048174D" w:rsidP="00590145">
      <w:pPr>
        <w:keepNext/>
        <w:spacing w:before="240"/>
        <w:jc w:val="both"/>
        <w:rPr>
          <w:spacing w:val="-2"/>
        </w:rPr>
      </w:pPr>
      <w:r w:rsidRPr="0048174D">
        <w:rPr>
          <w:b/>
          <w:color w:val="44546A"/>
        </w:rPr>
        <w:t xml:space="preserve">Part 1 - </w:t>
      </w:r>
      <w:proofErr w:type="spellStart"/>
      <w:r w:rsidRPr="0048174D">
        <w:rPr>
          <w:b/>
          <w:color w:val="44546A"/>
        </w:rPr>
        <w:t>Zahle</w:t>
      </w:r>
      <w:proofErr w:type="spellEnd"/>
      <w:r w:rsidRPr="0048174D">
        <w:rPr>
          <w:b/>
          <w:color w:val="44546A"/>
        </w:rPr>
        <w:t xml:space="preserve"> Area:</w:t>
      </w:r>
      <w:r w:rsidRPr="0048174D">
        <w:rPr>
          <w:bCs/>
          <w:color w:val="44546A"/>
        </w:rPr>
        <w:t xml:space="preserve"> </w:t>
      </w:r>
      <w:r w:rsidRPr="00B01903">
        <w:rPr>
          <w:spacing w:val="-2"/>
        </w:rPr>
        <w:t xml:space="preserve">The remaining works in </w:t>
      </w:r>
      <w:proofErr w:type="spellStart"/>
      <w:r w:rsidRPr="00B01903">
        <w:rPr>
          <w:spacing w:val="-2"/>
        </w:rPr>
        <w:t>Zahlé</w:t>
      </w:r>
      <w:proofErr w:type="spellEnd"/>
      <w:r w:rsidRPr="00B01903">
        <w:rPr>
          <w:spacing w:val="-2"/>
        </w:rPr>
        <w:t xml:space="preserve"> area include, the construction and completion of the following Sewer Networks:</w:t>
      </w:r>
    </w:p>
    <w:p w:rsidR="00590145" w:rsidRPr="00B01903" w:rsidRDefault="00590145" w:rsidP="00590145">
      <w:pPr>
        <w:keepNext/>
        <w:spacing w:before="240"/>
        <w:jc w:val="both"/>
        <w:rPr>
          <w:spacing w:val="-2"/>
        </w:rPr>
      </w:pPr>
    </w:p>
    <w:tbl>
      <w:tblPr>
        <w:tblW w:w="7596" w:type="dxa"/>
        <w:tblInd w:w="468" w:type="dxa"/>
        <w:tblLook w:val="04A0" w:firstRow="1" w:lastRow="0" w:firstColumn="1" w:lastColumn="0" w:noHBand="0" w:noVBand="1"/>
      </w:tblPr>
      <w:tblGrid>
        <w:gridCol w:w="3600"/>
        <w:gridCol w:w="1296"/>
        <w:gridCol w:w="1217"/>
        <w:gridCol w:w="1483"/>
      </w:tblGrid>
      <w:tr w:rsidR="0048174D" w:rsidRPr="00972D34" w:rsidTr="00972D34">
        <w:trPr>
          <w:trHeight w:val="510"/>
        </w:trPr>
        <w:tc>
          <w:tcPr>
            <w:tcW w:w="3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174D" w:rsidRPr="00972D34" w:rsidRDefault="0048174D" w:rsidP="007B3BEB">
            <w:pPr>
              <w:rPr>
                <w:b/>
                <w:bCs/>
                <w:color w:val="000000"/>
                <w:sz w:val="22"/>
                <w:szCs w:val="22"/>
              </w:rPr>
            </w:pPr>
            <w:r w:rsidRPr="00972D34">
              <w:rPr>
                <w:b/>
                <w:bCs/>
                <w:color w:val="000000"/>
                <w:sz w:val="22"/>
                <w:szCs w:val="22"/>
              </w:rPr>
              <w:t>Networks</w:t>
            </w:r>
          </w:p>
        </w:tc>
        <w:tc>
          <w:tcPr>
            <w:tcW w:w="1296" w:type="dxa"/>
            <w:tcBorders>
              <w:top w:val="single" w:sz="4" w:space="0" w:color="auto"/>
              <w:left w:val="nil"/>
              <w:bottom w:val="single" w:sz="4" w:space="0" w:color="auto"/>
              <w:right w:val="single" w:sz="4" w:space="0" w:color="auto"/>
            </w:tcBorders>
            <w:shd w:val="clear" w:color="auto" w:fill="auto"/>
            <w:noWrap/>
            <w:vAlign w:val="center"/>
            <w:hideMark/>
          </w:tcPr>
          <w:p w:rsidR="0048174D" w:rsidRPr="00972D34" w:rsidRDefault="0048174D" w:rsidP="007B3BEB">
            <w:pPr>
              <w:jc w:val="center"/>
              <w:rPr>
                <w:b/>
                <w:bCs/>
                <w:color w:val="000000"/>
                <w:sz w:val="22"/>
                <w:szCs w:val="22"/>
              </w:rPr>
            </w:pPr>
            <w:proofErr w:type="spellStart"/>
            <w:r w:rsidRPr="00972D34">
              <w:rPr>
                <w:b/>
                <w:bCs/>
                <w:color w:val="000000"/>
                <w:sz w:val="22"/>
                <w:szCs w:val="22"/>
              </w:rPr>
              <w:t>Pipeworks</w:t>
            </w:r>
            <w:proofErr w:type="spellEnd"/>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48174D" w:rsidRPr="00972D34" w:rsidRDefault="0048174D" w:rsidP="007B3BEB">
            <w:pPr>
              <w:jc w:val="center"/>
              <w:rPr>
                <w:b/>
                <w:bCs/>
                <w:color w:val="000000"/>
                <w:sz w:val="22"/>
                <w:szCs w:val="22"/>
              </w:rPr>
            </w:pPr>
            <w:r w:rsidRPr="00972D34">
              <w:rPr>
                <w:b/>
                <w:bCs/>
                <w:color w:val="000000"/>
                <w:sz w:val="22"/>
                <w:szCs w:val="22"/>
              </w:rPr>
              <w:t>Manholes</w:t>
            </w:r>
          </w:p>
        </w:tc>
        <w:tc>
          <w:tcPr>
            <w:tcW w:w="1483" w:type="dxa"/>
            <w:tcBorders>
              <w:top w:val="single" w:sz="4" w:space="0" w:color="auto"/>
              <w:left w:val="nil"/>
              <w:bottom w:val="single" w:sz="4" w:space="0" w:color="auto"/>
              <w:right w:val="single" w:sz="4" w:space="0" w:color="auto"/>
            </w:tcBorders>
            <w:shd w:val="clear" w:color="auto" w:fill="auto"/>
            <w:vAlign w:val="center"/>
            <w:hideMark/>
          </w:tcPr>
          <w:p w:rsidR="0048174D" w:rsidRPr="00972D34" w:rsidRDefault="0048174D" w:rsidP="007B3BEB">
            <w:pPr>
              <w:jc w:val="center"/>
              <w:rPr>
                <w:b/>
                <w:bCs/>
                <w:color w:val="000000"/>
                <w:sz w:val="22"/>
                <w:szCs w:val="22"/>
              </w:rPr>
            </w:pPr>
            <w:r w:rsidRPr="00972D34">
              <w:rPr>
                <w:b/>
                <w:bCs/>
                <w:color w:val="000000"/>
                <w:sz w:val="22"/>
                <w:szCs w:val="22"/>
              </w:rPr>
              <w:t>House Connections</w:t>
            </w:r>
          </w:p>
        </w:tc>
      </w:tr>
      <w:tr w:rsidR="0048174D" w:rsidRPr="00972D34" w:rsidTr="00972D34">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48174D" w:rsidRPr="00972D34" w:rsidRDefault="0048174D" w:rsidP="007B3BEB">
            <w:pPr>
              <w:rPr>
                <w:color w:val="000000"/>
                <w:sz w:val="22"/>
                <w:szCs w:val="22"/>
              </w:rPr>
            </w:pPr>
            <w:proofErr w:type="spellStart"/>
            <w:r w:rsidRPr="00972D34">
              <w:rPr>
                <w:color w:val="000000"/>
                <w:sz w:val="22"/>
                <w:szCs w:val="22"/>
              </w:rPr>
              <w:t>Zahlé</w:t>
            </w:r>
            <w:proofErr w:type="spellEnd"/>
            <w:r w:rsidRPr="00972D34">
              <w:rPr>
                <w:color w:val="000000"/>
                <w:sz w:val="22"/>
                <w:szCs w:val="22"/>
              </w:rPr>
              <w:t xml:space="preserve"> - El </w:t>
            </w:r>
            <w:proofErr w:type="spellStart"/>
            <w:r w:rsidRPr="00972D34">
              <w:rPr>
                <w:color w:val="000000"/>
                <w:sz w:val="22"/>
                <w:szCs w:val="22"/>
              </w:rPr>
              <w:t>Ferzol</w:t>
            </w:r>
            <w:proofErr w:type="spellEnd"/>
            <w:r w:rsidRPr="00972D34">
              <w:rPr>
                <w:color w:val="000000"/>
                <w:sz w:val="22"/>
                <w:szCs w:val="22"/>
              </w:rPr>
              <w:t xml:space="preserve"> Sewer Network</w:t>
            </w:r>
          </w:p>
        </w:tc>
        <w:tc>
          <w:tcPr>
            <w:tcW w:w="1296" w:type="dxa"/>
            <w:tcBorders>
              <w:top w:val="nil"/>
              <w:left w:val="nil"/>
              <w:bottom w:val="single" w:sz="4" w:space="0" w:color="auto"/>
              <w:right w:val="single" w:sz="4" w:space="0" w:color="auto"/>
            </w:tcBorders>
            <w:shd w:val="clear" w:color="auto" w:fill="auto"/>
            <w:noWrap/>
            <w:vAlign w:val="center"/>
            <w:hideMark/>
          </w:tcPr>
          <w:p w:rsidR="0048174D" w:rsidRPr="00972D34" w:rsidRDefault="0048174D" w:rsidP="007B3BEB">
            <w:pPr>
              <w:jc w:val="right"/>
              <w:rPr>
                <w:color w:val="000000"/>
                <w:sz w:val="22"/>
                <w:szCs w:val="22"/>
              </w:rPr>
            </w:pPr>
            <w:r w:rsidRPr="00972D34">
              <w:rPr>
                <w:color w:val="000000"/>
                <w:sz w:val="22"/>
                <w:szCs w:val="22"/>
              </w:rPr>
              <w:t>51,595 lm</w:t>
            </w:r>
          </w:p>
        </w:tc>
        <w:tc>
          <w:tcPr>
            <w:tcW w:w="1217" w:type="dxa"/>
            <w:tcBorders>
              <w:top w:val="nil"/>
              <w:left w:val="nil"/>
              <w:bottom w:val="single" w:sz="4" w:space="0" w:color="auto"/>
              <w:right w:val="single" w:sz="4" w:space="0" w:color="auto"/>
            </w:tcBorders>
            <w:shd w:val="clear" w:color="auto" w:fill="auto"/>
            <w:noWrap/>
            <w:vAlign w:val="center"/>
            <w:hideMark/>
          </w:tcPr>
          <w:p w:rsidR="0048174D" w:rsidRPr="00972D34" w:rsidRDefault="0048174D" w:rsidP="007B3BEB">
            <w:pPr>
              <w:jc w:val="right"/>
              <w:rPr>
                <w:color w:val="000000"/>
                <w:sz w:val="22"/>
                <w:szCs w:val="22"/>
              </w:rPr>
            </w:pPr>
            <w:r w:rsidRPr="00972D34">
              <w:rPr>
                <w:color w:val="000000"/>
                <w:sz w:val="22"/>
                <w:szCs w:val="22"/>
              </w:rPr>
              <w:t>1,526 №</w:t>
            </w:r>
          </w:p>
        </w:tc>
        <w:tc>
          <w:tcPr>
            <w:tcW w:w="1483" w:type="dxa"/>
            <w:tcBorders>
              <w:top w:val="nil"/>
              <w:left w:val="nil"/>
              <w:bottom w:val="single" w:sz="4" w:space="0" w:color="auto"/>
              <w:right w:val="single" w:sz="4" w:space="0" w:color="auto"/>
            </w:tcBorders>
            <w:shd w:val="clear" w:color="auto" w:fill="auto"/>
            <w:noWrap/>
            <w:vAlign w:val="center"/>
            <w:hideMark/>
          </w:tcPr>
          <w:p w:rsidR="0048174D" w:rsidRPr="00972D34" w:rsidRDefault="0048174D" w:rsidP="007B3BEB">
            <w:pPr>
              <w:jc w:val="right"/>
              <w:rPr>
                <w:color w:val="000000"/>
                <w:sz w:val="22"/>
                <w:szCs w:val="22"/>
              </w:rPr>
            </w:pPr>
            <w:r w:rsidRPr="00972D34">
              <w:rPr>
                <w:color w:val="000000"/>
                <w:sz w:val="22"/>
                <w:szCs w:val="22"/>
              </w:rPr>
              <w:t>2,550 №</w:t>
            </w:r>
          </w:p>
        </w:tc>
      </w:tr>
      <w:tr w:rsidR="0048174D" w:rsidRPr="00972D34" w:rsidTr="00972D34">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48174D" w:rsidRPr="00972D34" w:rsidRDefault="0048174D" w:rsidP="007B3BEB">
            <w:pPr>
              <w:rPr>
                <w:color w:val="000000"/>
                <w:sz w:val="22"/>
                <w:szCs w:val="22"/>
              </w:rPr>
            </w:pPr>
            <w:proofErr w:type="spellStart"/>
            <w:r w:rsidRPr="00972D34">
              <w:rPr>
                <w:color w:val="000000"/>
                <w:sz w:val="22"/>
                <w:szCs w:val="22"/>
              </w:rPr>
              <w:t>Saadnayel</w:t>
            </w:r>
            <w:proofErr w:type="spellEnd"/>
            <w:r w:rsidRPr="00972D34">
              <w:rPr>
                <w:color w:val="000000"/>
                <w:sz w:val="22"/>
                <w:szCs w:val="22"/>
              </w:rPr>
              <w:t xml:space="preserve"> - </w:t>
            </w:r>
            <w:proofErr w:type="spellStart"/>
            <w:r w:rsidRPr="00972D34">
              <w:rPr>
                <w:color w:val="000000"/>
                <w:sz w:val="22"/>
                <w:szCs w:val="22"/>
              </w:rPr>
              <w:t>Taalbaya</w:t>
            </w:r>
            <w:proofErr w:type="spellEnd"/>
            <w:r w:rsidRPr="00972D34">
              <w:rPr>
                <w:color w:val="000000"/>
                <w:sz w:val="22"/>
                <w:szCs w:val="22"/>
              </w:rPr>
              <w:t xml:space="preserve"> Sewer Network</w:t>
            </w:r>
          </w:p>
        </w:tc>
        <w:tc>
          <w:tcPr>
            <w:tcW w:w="1296" w:type="dxa"/>
            <w:tcBorders>
              <w:top w:val="nil"/>
              <w:left w:val="nil"/>
              <w:bottom w:val="single" w:sz="4" w:space="0" w:color="auto"/>
              <w:right w:val="single" w:sz="4" w:space="0" w:color="auto"/>
            </w:tcBorders>
            <w:shd w:val="clear" w:color="auto" w:fill="auto"/>
            <w:noWrap/>
            <w:vAlign w:val="center"/>
            <w:hideMark/>
          </w:tcPr>
          <w:p w:rsidR="0048174D" w:rsidRPr="00972D34" w:rsidRDefault="0048174D" w:rsidP="007B3BEB">
            <w:pPr>
              <w:jc w:val="right"/>
              <w:rPr>
                <w:color w:val="000000"/>
                <w:sz w:val="22"/>
                <w:szCs w:val="22"/>
              </w:rPr>
            </w:pPr>
            <w:r w:rsidRPr="00972D34">
              <w:rPr>
                <w:color w:val="000000"/>
                <w:sz w:val="22"/>
                <w:szCs w:val="22"/>
              </w:rPr>
              <w:t>3,105 lm</w:t>
            </w:r>
          </w:p>
        </w:tc>
        <w:tc>
          <w:tcPr>
            <w:tcW w:w="1217" w:type="dxa"/>
            <w:tcBorders>
              <w:top w:val="nil"/>
              <w:left w:val="nil"/>
              <w:bottom w:val="single" w:sz="4" w:space="0" w:color="auto"/>
              <w:right w:val="single" w:sz="4" w:space="0" w:color="auto"/>
            </w:tcBorders>
            <w:shd w:val="clear" w:color="auto" w:fill="auto"/>
            <w:noWrap/>
            <w:vAlign w:val="center"/>
            <w:hideMark/>
          </w:tcPr>
          <w:p w:rsidR="0048174D" w:rsidRPr="00972D34" w:rsidRDefault="0048174D" w:rsidP="007B3BEB">
            <w:pPr>
              <w:jc w:val="right"/>
              <w:rPr>
                <w:color w:val="000000"/>
                <w:sz w:val="22"/>
                <w:szCs w:val="22"/>
              </w:rPr>
            </w:pPr>
            <w:r w:rsidRPr="00972D34">
              <w:rPr>
                <w:color w:val="000000"/>
                <w:sz w:val="22"/>
                <w:szCs w:val="22"/>
              </w:rPr>
              <w:t>186 №</w:t>
            </w:r>
          </w:p>
        </w:tc>
        <w:tc>
          <w:tcPr>
            <w:tcW w:w="1483" w:type="dxa"/>
            <w:tcBorders>
              <w:top w:val="nil"/>
              <w:left w:val="nil"/>
              <w:bottom w:val="single" w:sz="4" w:space="0" w:color="auto"/>
              <w:right w:val="single" w:sz="4" w:space="0" w:color="auto"/>
            </w:tcBorders>
            <w:shd w:val="clear" w:color="auto" w:fill="auto"/>
            <w:noWrap/>
            <w:vAlign w:val="center"/>
            <w:hideMark/>
          </w:tcPr>
          <w:p w:rsidR="0048174D" w:rsidRPr="00972D34" w:rsidRDefault="0048174D" w:rsidP="007B3BEB">
            <w:pPr>
              <w:jc w:val="right"/>
              <w:rPr>
                <w:color w:val="000000"/>
                <w:sz w:val="22"/>
                <w:szCs w:val="22"/>
              </w:rPr>
            </w:pPr>
            <w:r w:rsidRPr="00972D34">
              <w:rPr>
                <w:color w:val="000000"/>
                <w:sz w:val="22"/>
                <w:szCs w:val="22"/>
              </w:rPr>
              <w:t>180 №</w:t>
            </w:r>
          </w:p>
        </w:tc>
      </w:tr>
      <w:tr w:rsidR="0048174D" w:rsidRPr="00972D34" w:rsidTr="00972D34">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48174D" w:rsidRPr="00972D34" w:rsidRDefault="0048174D" w:rsidP="007B3BEB">
            <w:pPr>
              <w:rPr>
                <w:color w:val="000000"/>
                <w:sz w:val="22"/>
                <w:szCs w:val="22"/>
              </w:rPr>
            </w:pPr>
            <w:proofErr w:type="spellStart"/>
            <w:r w:rsidRPr="00972D34">
              <w:rPr>
                <w:color w:val="000000"/>
                <w:sz w:val="22"/>
                <w:szCs w:val="22"/>
              </w:rPr>
              <w:t>Quaa</w:t>
            </w:r>
            <w:proofErr w:type="spellEnd"/>
            <w:r w:rsidRPr="00972D34">
              <w:rPr>
                <w:color w:val="000000"/>
                <w:sz w:val="22"/>
                <w:szCs w:val="22"/>
              </w:rPr>
              <w:t xml:space="preserve"> El Rim Sewer Network</w:t>
            </w:r>
          </w:p>
        </w:tc>
        <w:tc>
          <w:tcPr>
            <w:tcW w:w="1296" w:type="dxa"/>
            <w:tcBorders>
              <w:top w:val="nil"/>
              <w:left w:val="nil"/>
              <w:bottom w:val="single" w:sz="4" w:space="0" w:color="auto"/>
              <w:right w:val="single" w:sz="4" w:space="0" w:color="auto"/>
            </w:tcBorders>
            <w:shd w:val="clear" w:color="auto" w:fill="auto"/>
            <w:noWrap/>
            <w:vAlign w:val="center"/>
            <w:hideMark/>
          </w:tcPr>
          <w:p w:rsidR="0048174D" w:rsidRPr="00972D34" w:rsidRDefault="0048174D" w:rsidP="007B3BEB">
            <w:pPr>
              <w:jc w:val="right"/>
              <w:rPr>
                <w:color w:val="000000"/>
                <w:sz w:val="22"/>
                <w:szCs w:val="22"/>
              </w:rPr>
            </w:pPr>
            <w:r w:rsidRPr="00972D34">
              <w:rPr>
                <w:color w:val="000000"/>
                <w:sz w:val="22"/>
                <w:szCs w:val="22"/>
              </w:rPr>
              <w:t>8,000 lm</w:t>
            </w:r>
          </w:p>
        </w:tc>
        <w:tc>
          <w:tcPr>
            <w:tcW w:w="1217" w:type="dxa"/>
            <w:tcBorders>
              <w:top w:val="nil"/>
              <w:left w:val="nil"/>
              <w:bottom w:val="single" w:sz="4" w:space="0" w:color="auto"/>
              <w:right w:val="single" w:sz="4" w:space="0" w:color="auto"/>
            </w:tcBorders>
            <w:shd w:val="clear" w:color="auto" w:fill="auto"/>
            <w:noWrap/>
            <w:vAlign w:val="center"/>
            <w:hideMark/>
          </w:tcPr>
          <w:p w:rsidR="0048174D" w:rsidRPr="00972D34" w:rsidRDefault="0048174D" w:rsidP="007B3BEB">
            <w:pPr>
              <w:jc w:val="right"/>
              <w:rPr>
                <w:color w:val="000000"/>
                <w:sz w:val="22"/>
                <w:szCs w:val="22"/>
              </w:rPr>
            </w:pPr>
            <w:r w:rsidRPr="00972D34">
              <w:rPr>
                <w:color w:val="000000"/>
                <w:sz w:val="22"/>
                <w:szCs w:val="22"/>
              </w:rPr>
              <w:t>384 №</w:t>
            </w:r>
          </w:p>
        </w:tc>
        <w:tc>
          <w:tcPr>
            <w:tcW w:w="1483" w:type="dxa"/>
            <w:tcBorders>
              <w:top w:val="nil"/>
              <w:left w:val="nil"/>
              <w:bottom w:val="single" w:sz="4" w:space="0" w:color="auto"/>
              <w:right w:val="single" w:sz="4" w:space="0" w:color="auto"/>
            </w:tcBorders>
            <w:shd w:val="clear" w:color="auto" w:fill="auto"/>
            <w:noWrap/>
            <w:vAlign w:val="center"/>
            <w:hideMark/>
          </w:tcPr>
          <w:p w:rsidR="0048174D" w:rsidRPr="00972D34" w:rsidRDefault="0048174D" w:rsidP="007B3BEB">
            <w:pPr>
              <w:jc w:val="right"/>
              <w:rPr>
                <w:color w:val="000000"/>
                <w:sz w:val="22"/>
                <w:szCs w:val="22"/>
              </w:rPr>
            </w:pPr>
            <w:r w:rsidRPr="00972D34">
              <w:rPr>
                <w:color w:val="000000"/>
                <w:sz w:val="22"/>
                <w:szCs w:val="22"/>
              </w:rPr>
              <w:t>765 №</w:t>
            </w:r>
          </w:p>
        </w:tc>
      </w:tr>
      <w:tr w:rsidR="0048174D" w:rsidRPr="00972D34" w:rsidTr="00972D34">
        <w:trPr>
          <w:trHeight w:val="255"/>
        </w:trPr>
        <w:tc>
          <w:tcPr>
            <w:tcW w:w="3600" w:type="dxa"/>
            <w:tcBorders>
              <w:top w:val="nil"/>
              <w:left w:val="single" w:sz="4" w:space="0" w:color="auto"/>
              <w:bottom w:val="single" w:sz="4" w:space="0" w:color="auto"/>
              <w:right w:val="single" w:sz="4" w:space="0" w:color="auto"/>
            </w:tcBorders>
            <w:shd w:val="clear" w:color="auto" w:fill="auto"/>
            <w:noWrap/>
            <w:vAlign w:val="center"/>
            <w:hideMark/>
          </w:tcPr>
          <w:p w:rsidR="0048174D" w:rsidRPr="00972D34" w:rsidRDefault="0048174D" w:rsidP="007B3BEB">
            <w:pPr>
              <w:rPr>
                <w:color w:val="000000"/>
                <w:sz w:val="22"/>
                <w:szCs w:val="22"/>
              </w:rPr>
            </w:pPr>
            <w:proofErr w:type="spellStart"/>
            <w:r w:rsidRPr="00972D34">
              <w:rPr>
                <w:color w:val="000000"/>
                <w:sz w:val="22"/>
                <w:szCs w:val="22"/>
              </w:rPr>
              <w:t>Hezzerta</w:t>
            </w:r>
            <w:proofErr w:type="spellEnd"/>
            <w:r w:rsidRPr="00972D34">
              <w:rPr>
                <w:color w:val="000000"/>
                <w:sz w:val="22"/>
                <w:szCs w:val="22"/>
              </w:rPr>
              <w:t xml:space="preserve"> Sewer Network</w:t>
            </w:r>
          </w:p>
        </w:tc>
        <w:tc>
          <w:tcPr>
            <w:tcW w:w="1296" w:type="dxa"/>
            <w:tcBorders>
              <w:top w:val="nil"/>
              <w:left w:val="nil"/>
              <w:bottom w:val="single" w:sz="4" w:space="0" w:color="auto"/>
              <w:right w:val="single" w:sz="4" w:space="0" w:color="auto"/>
            </w:tcBorders>
            <w:shd w:val="clear" w:color="auto" w:fill="auto"/>
            <w:noWrap/>
            <w:vAlign w:val="center"/>
            <w:hideMark/>
          </w:tcPr>
          <w:p w:rsidR="0048174D" w:rsidRPr="00972D34" w:rsidRDefault="0048174D" w:rsidP="007B3BEB">
            <w:pPr>
              <w:jc w:val="right"/>
              <w:rPr>
                <w:color w:val="000000"/>
                <w:sz w:val="22"/>
                <w:szCs w:val="22"/>
              </w:rPr>
            </w:pPr>
            <w:r w:rsidRPr="00972D34">
              <w:rPr>
                <w:color w:val="000000"/>
                <w:sz w:val="22"/>
                <w:szCs w:val="22"/>
              </w:rPr>
              <w:t>13,840 lm</w:t>
            </w:r>
          </w:p>
        </w:tc>
        <w:tc>
          <w:tcPr>
            <w:tcW w:w="1217" w:type="dxa"/>
            <w:tcBorders>
              <w:top w:val="nil"/>
              <w:left w:val="nil"/>
              <w:bottom w:val="single" w:sz="4" w:space="0" w:color="auto"/>
              <w:right w:val="single" w:sz="4" w:space="0" w:color="auto"/>
            </w:tcBorders>
            <w:shd w:val="clear" w:color="auto" w:fill="auto"/>
            <w:noWrap/>
            <w:vAlign w:val="center"/>
            <w:hideMark/>
          </w:tcPr>
          <w:p w:rsidR="0048174D" w:rsidRPr="00972D34" w:rsidRDefault="0048174D" w:rsidP="007B3BEB">
            <w:pPr>
              <w:jc w:val="right"/>
              <w:rPr>
                <w:color w:val="000000"/>
                <w:sz w:val="22"/>
                <w:szCs w:val="22"/>
              </w:rPr>
            </w:pPr>
            <w:r w:rsidRPr="00972D34">
              <w:rPr>
                <w:color w:val="000000"/>
                <w:sz w:val="22"/>
                <w:szCs w:val="22"/>
              </w:rPr>
              <w:t>596 №</w:t>
            </w:r>
          </w:p>
        </w:tc>
        <w:tc>
          <w:tcPr>
            <w:tcW w:w="1483" w:type="dxa"/>
            <w:tcBorders>
              <w:top w:val="nil"/>
              <w:left w:val="nil"/>
              <w:bottom w:val="single" w:sz="4" w:space="0" w:color="auto"/>
              <w:right w:val="single" w:sz="4" w:space="0" w:color="auto"/>
            </w:tcBorders>
            <w:shd w:val="clear" w:color="auto" w:fill="auto"/>
            <w:noWrap/>
            <w:vAlign w:val="center"/>
            <w:hideMark/>
          </w:tcPr>
          <w:p w:rsidR="0048174D" w:rsidRPr="00972D34" w:rsidRDefault="0048174D" w:rsidP="007B3BEB">
            <w:pPr>
              <w:jc w:val="right"/>
              <w:rPr>
                <w:color w:val="000000"/>
                <w:sz w:val="22"/>
                <w:szCs w:val="22"/>
              </w:rPr>
            </w:pPr>
            <w:r w:rsidRPr="00972D34">
              <w:rPr>
                <w:color w:val="000000"/>
                <w:sz w:val="22"/>
                <w:szCs w:val="22"/>
              </w:rPr>
              <w:t>1,110 №</w:t>
            </w:r>
          </w:p>
        </w:tc>
      </w:tr>
    </w:tbl>
    <w:p w:rsidR="00590145" w:rsidRDefault="00590145" w:rsidP="00590145">
      <w:pPr>
        <w:keepNext/>
        <w:spacing w:before="240"/>
        <w:jc w:val="both"/>
        <w:rPr>
          <w:b/>
          <w:color w:val="44546A"/>
        </w:rPr>
      </w:pPr>
    </w:p>
    <w:p w:rsidR="0048174D" w:rsidRDefault="0048174D" w:rsidP="00590145">
      <w:pPr>
        <w:keepNext/>
        <w:spacing w:before="240"/>
        <w:jc w:val="both"/>
      </w:pPr>
      <w:r w:rsidRPr="0048174D">
        <w:rPr>
          <w:b/>
          <w:color w:val="44546A"/>
        </w:rPr>
        <w:t xml:space="preserve">Part 2 - </w:t>
      </w:r>
      <w:proofErr w:type="spellStart"/>
      <w:r w:rsidRPr="0048174D">
        <w:rPr>
          <w:b/>
          <w:color w:val="44546A"/>
        </w:rPr>
        <w:t>Aitanit</w:t>
      </w:r>
      <w:proofErr w:type="spellEnd"/>
      <w:r w:rsidRPr="0048174D">
        <w:rPr>
          <w:b/>
          <w:color w:val="44546A"/>
        </w:rPr>
        <w:t xml:space="preserve"> Area:</w:t>
      </w:r>
      <w:r w:rsidRPr="0048174D">
        <w:rPr>
          <w:bCs/>
          <w:color w:val="44546A"/>
        </w:rPr>
        <w:t xml:space="preserve"> </w:t>
      </w:r>
      <w:r w:rsidRPr="00B01903">
        <w:rPr>
          <w:spacing w:val="-2"/>
        </w:rPr>
        <w:t xml:space="preserve">The remaining works in </w:t>
      </w:r>
      <w:proofErr w:type="spellStart"/>
      <w:r w:rsidRPr="00B01903">
        <w:rPr>
          <w:spacing w:val="-2"/>
        </w:rPr>
        <w:t>Aitanit</w:t>
      </w:r>
      <w:proofErr w:type="spellEnd"/>
      <w:r w:rsidRPr="00B01903">
        <w:rPr>
          <w:spacing w:val="-2"/>
        </w:rPr>
        <w:t xml:space="preserve"> area include, </w:t>
      </w:r>
      <w:r w:rsidRPr="0048174D">
        <w:t xml:space="preserve">the rehabilitation of the existing main pumping station in El </w:t>
      </w:r>
      <w:proofErr w:type="spellStart"/>
      <w:r w:rsidRPr="0048174D">
        <w:t>Qaraoun</w:t>
      </w:r>
      <w:proofErr w:type="spellEnd"/>
      <w:r w:rsidRPr="0048174D">
        <w:t xml:space="preserve"> village, and the construction and completion of the following pumping stations in </w:t>
      </w:r>
      <w:proofErr w:type="spellStart"/>
      <w:r w:rsidRPr="0048174D">
        <w:t>Baaloul</w:t>
      </w:r>
      <w:proofErr w:type="spellEnd"/>
      <w:r w:rsidRPr="0048174D">
        <w:t xml:space="preserve"> and El </w:t>
      </w:r>
      <w:proofErr w:type="spellStart"/>
      <w:r w:rsidRPr="0048174D">
        <w:t>Qaraoun</w:t>
      </w:r>
      <w:proofErr w:type="spellEnd"/>
      <w:r w:rsidRPr="0048174D">
        <w:t xml:space="preserve"> villages:</w:t>
      </w:r>
    </w:p>
    <w:p w:rsidR="00590145" w:rsidRPr="00B01903" w:rsidRDefault="00590145" w:rsidP="00590145">
      <w:pPr>
        <w:keepNext/>
        <w:spacing w:before="240"/>
        <w:jc w:val="both"/>
        <w:rPr>
          <w:spacing w:val="-2"/>
        </w:rPr>
      </w:pP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40"/>
        <w:gridCol w:w="2340"/>
        <w:gridCol w:w="2880"/>
      </w:tblGrid>
      <w:tr w:rsidR="0048174D" w:rsidRPr="007B3BEB" w:rsidTr="007B3BEB">
        <w:tc>
          <w:tcPr>
            <w:tcW w:w="2340" w:type="dxa"/>
            <w:shd w:val="clear" w:color="auto" w:fill="auto"/>
          </w:tcPr>
          <w:p w:rsidR="0048174D" w:rsidRPr="007B3BEB" w:rsidRDefault="0048174D" w:rsidP="007B3BEB">
            <w:pPr>
              <w:jc w:val="center"/>
              <w:rPr>
                <w:b/>
                <w:bCs/>
                <w:sz w:val="22"/>
                <w:szCs w:val="22"/>
              </w:rPr>
            </w:pPr>
            <w:r w:rsidRPr="007B3BEB">
              <w:rPr>
                <w:b/>
                <w:bCs/>
                <w:sz w:val="22"/>
                <w:szCs w:val="22"/>
              </w:rPr>
              <w:t>Village</w:t>
            </w:r>
          </w:p>
        </w:tc>
        <w:tc>
          <w:tcPr>
            <w:tcW w:w="2340" w:type="dxa"/>
            <w:shd w:val="clear" w:color="auto" w:fill="auto"/>
          </w:tcPr>
          <w:p w:rsidR="0048174D" w:rsidRPr="007B3BEB" w:rsidRDefault="0048174D" w:rsidP="007B3BEB">
            <w:pPr>
              <w:jc w:val="center"/>
              <w:rPr>
                <w:b/>
                <w:bCs/>
                <w:sz w:val="22"/>
                <w:szCs w:val="22"/>
              </w:rPr>
            </w:pPr>
            <w:r w:rsidRPr="007B3BEB">
              <w:rPr>
                <w:b/>
                <w:bCs/>
                <w:sz w:val="22"/>
                <w:szCs w:val="22"/>
              </w:rPr>
              <w:t>Pumping Station</w:t>
            </w:r>
          </w:p>
        </w:tc>
        <w:tc>
          <w:tcPr>
            <w:tcW w:w="2880" w:type="dxa"/>
            <w:shd w:val="clear" w:color="auto" w:fill="auto"/>
          </w:tcPr>
          <w:p w:rsidR="0048174D" w:rsidRPr="007B3BEB" w:rsidRDefault="0048174D" w:rsidP="007B3BEB">
            <w:pPr>
              <w:jc w:val="center"/>
              <w:rPr>
                <w:b/>
                <w:bCs/>
                <w:sz w:val="22"/>
                <w:szCs w:val="22"/>
              </w:rPr>
            </w:pPr>
            <w:r w:rsidRPr="007B3BEB">
              <w:rPr>
                <w:b/>
                <w:bCs/>
                <w:sz w:val="22"/>
                <w:szCs w:val="22"/>
              </w:rPr>
              <w:t>Flow (m³/day)</w:t>
            </w:r>
          </w:p>
        </w:tc>
      </w:tr>
      <w:tr w:rsidR="0048174D" w:rsidRPr="007B3BEB" w:rsidTr="007B3BEB">
        <w:tc>
          <w:tcPr>
            <w:tcW w:w="2340" w:type="dxa"/>
            <w:shd w:val="clear" w:color="auto" w:fill="auto"/>
          </w:tcPr>
          <w:p w:rsidR="0048174D" w:rsidRPr="007B3BEB" w:rsidRDefault="0048174D" w:rsidP="007B3BEB">
            <w:pPr>
              <w:jc w:val="center"/>
              <w:rPr>
                <w:sz w:val="22"/>
                <w:szCs w:val="22"/>
              </w:rPr>
            </w:pPr>
            <w:proofErr w:type="spellStart"/>
            <w:r w:rsidRPr="007B3BEB">
              <w:rPr>
                <w:sz w:val="22"/>
                <w:szCs w:val="22"/>
              </w:rPr>
              <w:t>Baaloul</w:t>
            </w:r>
            <w:proofErr w:type="spellEnd"/>
          </w:p>
        </w:tc>
        <w:tc>
          <w:tcPr>
            <w:tcW w:w="2340" w:type="dxa"/>
            <w:shd w:val="clear" w:color="auto" w:fill="auto"/>
          </w:tcPr>
          <w:p w:rsidR="0048174D" w:rsidRPr="007B3BEB" w:rsidRDefault="0048174D" w:rsidP="007B3BEB">
            <w:pPr>
              <w:jc w:val="center"/>
              <w:rPr>
                <w:sz w:val="22"/>
                <w:szCs w:val="22"/>
              </w:rPr>
            </w:pPr>
            <w:r w:rsidRPr="007B3BEB">
              <w:rPr>
                <w:sz w:val="22"/>
                <w:szCs w:val="22"/>
              </w:rPr>
              <w:t>PS1</w:t>
            </w:r>
          </w:p>
        </w:tc>
        <w:tc>
          <w:tcPr>
            <w:tcW w:w="2880" w:type="dxa"/>
            <w:shd w:val="clear" w:color="auto" w:fill="auto"/>
          </w:tcPr>
          <w:p w:rsidR="0048174D" w:rsidRPr="007B3BEB" w:rsidRDefault="0048174D" w:rsidP="007B3BEB">
            <w:pPr>
              <w:jc w:val="center"/>
              <w:rPr>
                <w:sz w:val="22"/>
                <w:szCs w:val="22"/>
              </w:rPr>
            </w:pPr>
            <w:r w:rsidRPr="007B3BEB">
              <w:rPr>
                <w:sz w:val="22"/>
                <w:szCs w:val="22"/>
              </w:rPr>
              <w:t>302.40</w:t>
            </w:r>
          </w:p>
        </w:tc>
      </w:tr>
      <w:tr w:rsidR="0048174D" w:rsidRPr="007B3BEB" w:rsidTr="007B3BEB">
        <w:tc>
          <w:tcPr>
            <w:tcW w:w="2340" w:type="dxa"/>
            <w:shd w:val="clear" w:color="auto" w:fill="auto"/>
          </w:tcPr>
          <w:p w:rsidR="0048174D" w:rsidRPr="007B3BEB" w:rsidRDefault="0048174D" w:rsidP="007B3BEB">
            <w:pPr>
              <w:jc w:val="center"/>
              <w:rPr>
                <w:sz w:val="22"/>
                <w:szCs w:val="22"/>
              </w:rPr>
            </w:pPr>
          </w:p>
        </w:tc>
        <w:tc>
          <w:tcPr>
            <w:tcW w:w="2340" w:type="dxa"/>
            <w:shd w:val="clear" w:color="auto" w:fill="auto"/>
          </w:tcPr>
          <w:p w:rsidR="0048174D" w:rsidRPr="007B3BEB" w:rsidRDefault="0048174D" w:rsidP="007B3BEB">
            <w:pPr>
              <w:jc w:val="center"/>
              <w:rPr>
                <w:sz w:val="22"/>
                <w:szCs w:val="22"/>
              </w:rPr>
            </w:pPr>
            <w:r w:rsidRPr="007B3BEB">
              <w:rPr>
                <w:sz w:val="22"/>
                <w:szCs w:val="22"/>
              </w:rPr>
              <w:t>PS2</w:t>
            </w:r>
          </w:p>
        </w:tc>
        <w:tc>
          <w:tcPr>
            <w:tcW w:w="2880" w:type="dxa"/>
            <w:shd w:val="clear" w:color="auto" w:fill="auto"/>
          </w:tcPr>
          <w:p w:rsidR="0048174D" w:rsidRPr="007B3BEB" w:rsidRDefault="0048174D" w:rsidP="007B3BEB">
            <w:pPr>
              <w:jc w:val="center"/>
              <w:rPr>
                <w:sz w:val="22"/>
                <w:szCs w:val="22"/>
              </w:rPr>
            </w:pPr>
            <w:r w:rsidRPr="007B3BEB">
              <w:rPr>
                <w:sz w:val="22"/>
                <w:szCs w:val="22"/>
              </w:rPr>
              <w:t>302.40</w:t>
            </w:r>
          </w:p>
        </w:tc>
      </w:tr>
      <w:tr w:rsidR="0048174D" w:rsidRPr="007B3BEB" w:rsidTr="007B3BEB">
        <w:tc>
          <w:tcPr>
            <w:tcW w:w="2340" w:type="dxa"/>
            <w:shd w:val="clear" w:color="auto" w:fill="auto"/>
          </w:tcPr>
          <w:p w:rsidR="0048174D" w:rsidRPr="007B3BEB" w:rsidRDefault="0048174D" w:rsidP="007B3BEB">
            <w:pPr>
              <w:jc w:val="center"/>
              <w:rPr>
                <w:sz w:val="22"/>
                <w:szCs w:val="22"/>
              </w:rPr>
            </w:pPr>
            <w:proofErr w:type="spellStart"/>
            <w:r w:rsidRPr="007B3BEB">
              <w:rPr>
                <w:sz w:val="22"/>
                <w:szCs w:val="22"/>
              </w:rPr>
              <w:t>Qaraoun</w:t>
            </w:r>
            <w:proofErr w:type="spellEnd"/>
          </w:p>
        </w:tc>
        <w:tc>
          <w:tcPr>
            <w:tcW w:w="2340" w:type="dxa"/>
            <w:shd w:val="clear" w:color="auto" w:fill="auto"/>
          </w:tcPr>
          <w:p w:rsidR="0048174D" w:rsidRPr="007B3BEB" w:rsidRDefault="0048174D" w:rsidP="007B3BEB">
            <w:pPr>
              <w:jc w:val="center"/>
              <w:rPr>
                <w:sz w:val="22"/>
                <w:szCs w:val="22"/>
              </w:rPr>
            </w:pPr>
            <w:r w:rsidRPr="007B3BEB">
              <w:rPr>
                <w:sz w:val="22"/>
                <w:szCs w:val="22"/>
              </w:rPr>
              <w:t>PS3</w:t>
            </w:r>
          </w:p>
        </w:tc>
        <w:tc>
          <w:tcPr>
            <w:tcW w:w="2880" w:type="dxa"/>
            <w:shd w:val="clear" w:color="auto" w:fill="auto"/>
          </w:tcPr>
          <w:p w:rsidR="0048174D" w:rsidRPr="007B3BEB" w:rsidRDefault="0048174D" w:rsidP="007B3BEB">
            <w:pPr>
              <w:jc w:val="center"/>
              <w:rPr>
                <w:sz w:val="22"/>
                <w:szCs w:val="22"/>
              </w:rPr>
            </w:pPr>
            <w:r w:rsidRPr="007B3BEB">
              <w:rPr>
                <w:sz w:val="22"/>
                <w:szCs w:val="22"/>
              </w:rPr>
              <w:t>395.71</w:t>
            </w:r>
          </w:p>
        </w:tc>
      </w:tr>
      <w:tr w:rsidR="0048174D" w:rsidRPr="007B3BEB" w:rsidTr="007B3BEB">
        <w:tc>
          <w:tcPr>
            <w:tcW w:w="2340" w:type="dxa"/>
            <w:shd w:val="clear" w:color="auto" w:fill="auto"/>
          </w:tcPr>
          <w:p w:rsidR="0048174D" w:rsidRPr="007B3BEB" w:rsidRDefault="0048174D" w:rsidP="007B3BEB">
            <w:pPr>
              <w:jc w:val="center"/>
              <w:rPr>
                <w:sz w:val="22"/>
                <w:szCs w:val="22"/>
              </w:rPr>
            </w:pPr>
          </w:p>
        </w:tc>
        <w:tc>
          <w:tcPr>
            <w:tcW w:w="2340" w:type="dxa"/>
            <w:shd w:val="clear" w:color="auto" w:fill="auto"/>
          </w:tcPr>
          <w:p w:rsidR="0048174D" w:rsidRPr="007B3BEB" w:rsidRDefault="0048174D" w:rsidP="007B3BEB">
            <w:pPr>
              <w:jc w:val="center"/>
              <w:rPr>
                <w:sz w:val="22"/>
                <w:szCs w:val="22"/>
              </w:rPr>
            </w:pPr>
            <w:r w:rsidRPr="007B3BEB">
              <w:rPr>
                <w:sz w:val="22"/>
                <w:szCs w:val="22"/>
              </w:rPr>
              <w:t>PS4</w:t>
            </w:r>
          </w:p>
        </w:tc>
        <w:tc>
          <w:tcPr>
            <w:tcW w:w="2880" w:type="dxa"/>
            <w:shd w:val="clear" w:color="auto" w:fill="auto"/>
          </w:tcPr>
          <w:p w:rsidR="0048174D" w:rsidRPr="007B3BEB" w:rsidRDefault="0048174D" w:rsidP="007B3BEB">
            <w:pPr>
              <w:jc w:val="center"/>
              <w:rPr>
                <w:sz w:val="22"/>
                <w:szCs w:val="22"/>
              </w:rPr>
            </w:pPr>
            <w:r w:rsidRPr="007B3BEB">
              <w:rPr>
                <w:sz w:val="22"/>
                <w:szCs w:val="22"/>
              </w:rPr>
              <w:t>1,069.63</w:t>
            </w:r>
          </w:p>
        </w:tc>
      </w:tr>
      <w:tr w:rsidR="0048174D" w:rsidRPr="007B3BEB" w:rsidTr="007B3BEB">
        <w:tc>
          <w:tcPr>
            <w:tcW w:w="2340" w:type="dxa"/>
            <w:shd w:val="clear" w:color="auto" w:fill="auto"/>
          </w:tcPr>
          <w:p w:rsidR="0048174D" w:rsidRPr="007B3BEB" w:rsidRDefault="0048174D" w:rsidP="007B3BEB">
            <w:pPr>
              <w:jc w:val="center"/>
              <w:rPr>
                <w:sz w:val="22"/>
                <w:szCs w:val="22"/>
              </w:rPr>
            </w:pPr>
          </w:p>
        </w:tc>
        <w:tc>
          <w:tcPr>
            <w:tcW w:w="2340" w:type="dxa"/>
            <w:shd w:val="clear" w:color="auto" w:fill="auto"/>
          </w:tcPr>
          <w:p w:rsidR="0048174D" w:rsidRPr="007B3BEB" w:rsidRDefault="0048174D" w:rsidP="007B3BEB">
            <w:pPr>
              <w:jc w:val="center"/>
              <w:rPr>
                <w:sz w:val="22"/>
                <w:szCs w:val="22"/>
              </w:rPr>
            </w:pPr>
            <w:r w:rsidRPr="007B3BEB">
              <w:rPr>
                <w:sz w:val="22"/>
                <w:szCs w:val="22"/>
              </w:rPr>
              <w:t>PS5</w:t>
            </w:r>
          </w:p>
        </w:tc>
        <w:tc>
          <w:tcPr>
            <w:tcW w:w="2880" w:type="dxa"/>
            <w:shd w:val="clear" w:color="auto" w:fill="auto"/>
          </w:tcPr>
          <w:p w:rsidR="0048174D" w:rsidRPr="007B3BEB" w:rsidRDefault="0048174D" w:rsidP="007B3BEB">
            <w:pPr>
              <w:jc w:val="center"/>
              <w:rPr>
                <w:sz w:val="22"/>
                <w:szCs w:val="22"/>
              </w:rPr>
            </w:pPr>
            <w:r w:rsidRPr="007B3BEB">
              <w:rPr>
                <w:sz w:val="22"/>
                <w:szCs w:val="22"/>
              </w:rPr>
              <w:t>542.59</w:t>
            </w:r>
          </w:p>
        </w:tc>
      </w:tr>
      <w:tr w:rsidR="0048174D" w:rsidRPr="007B3BEB" w:rsidTr="007B3BEB">
        <w:tc>
          <w:tcPr>
            <w:tcW w:w="2340" w:type="dxa"/>
            <w:shd w:val="clear" w:color="auto" w:fill="auto"/>
          </w:tcPr>
          <w:p w:rsidR="0048174D" w:rsidRPr="007B3BEB" w:rsidRDefault="0048174D" w:rsidP="007B3BEB">
            <w:pPr>
              <w:jc w:val="center"/>
              <w:rPr>
                <w:sz w:val="22"/>
                <w:szCs w:val="22"/>
              </w:rPr>
            </w:pPr>
          </w:p>
        </w:tc>
        <w:tc>
          <w:tcPr>
            <w:tcW w:w="2340" w:type="dxa"/>
            <w:shd w:val="clear" w:color="auto" w:fill="auto"/>
          </w:tcPr>
          <w:p w:rsidR="0048174D" w:rsidRPr="007B3BEB" w:rsidRDefault="0048174D" w:rsidP="007B3BEB">
            <w:pPr>
              <w:jc w:val="center"/>
              <w:rPr>
                <w:sz w:val="22"/>
                <w:szCs w:val="22"/>
              </w:rPr>
            </w:pPr>
            <w:r w:rsidRPr="007B3BEB">
              <w:rPr>
                <w:sz w:val="22"/>
                <w:szCs w:val="22"/>
              </w:rPr>
              <w:t>PS6</w:t>
            </w:r>
          </w:p>
        </w:tc>
        <w:tc>
          <w:tcPr>
            <w:tcW w:w="2880" w:type="dxa"/>
            <w:shd w:val="clear" w:color="auto" w:fill="auto"/>
          </w:tcPr>
          <w:p w:rsidR="0048174D" w:rsidRPr="007B3BEB" w:rsidRDefault="0048174D" w:rsidP="007B3BEB">
            <w:pPr>
              <w:jc w:val="center"/>
              <w:rPr>
                <w:sz w:val="22"/>
                <w:szCs w:val="22"/>
              </w:rPr>
            </w:pPr>
            <w:r w:rsidRPr="007B3BEB">
              <w:rPr>
                <w:sz w:val="22"/>
                <w:szCs w:val="22"/>
              </w:rPr>
              <w:t>302.40</w:t>
            </w:r>
          </w:p>
        </w:tc>
      </w:tr>
    </w:tbl>
    <w:p w:rsidR="0048174D" w:rsidRDefault="0048174D" w:rsidP="0048174D">
      <w:pPr>
        <w:keepNext/>
        <w:spacing w:before="240"/>
        <w:jc w:val="both"/>
        <w:rPr>
          <w:spacing w:val="-2"/>
        </w:rPr>
      </w:pPr>
      <w:r>
        <w:lastRenderedPageBreak/>
        <w:t>The Works required in the “</w:t>
      </w:r>
      <w:r w:rsidRPr="0048174D">
        <w:rPr>
          <w:b/>
          <w:color w:val="44546A"/>
        </w:rPr>
        <w:t xml:space="preserve">Design and Construction of Sludge Solar Dryers for </w:t>
      </w:r>
      <w:proofErr w:type="spellStart"/>
      <w:r w:rsidRPr="0048174D">
        <w:rPr>
          <w:b/>
          <w:color w:val="44546A"/>
        </w:rPr>
        <w:t>Zahlé</w:t>
      </w:r>
      <w:proofErr w:type="spellEnd"/>
      <w:r w:rsidRPr="0048174D">
        <w:rPr>
          <w:b/>
          <w:color w:val="44546A"/>
        </w:rPr>
        <w:t xml:space="preserve"> Wastewater Treatment Plant (QC1W5)</w:t>
      </w:r>
      <w:r>
        <w:rPr>
          <w:color w:val="000000"/>
        </w:rPr>
        <w:t>”</w:t>
      </w:r>
      <w:r w:rsidRPr="001A3D5D">
        <w:rPr>
          <w:color w:val="000000"/>
        </w:rPr>
        <w:t xml:space="preserve"> </w:t>
      </w:r>
      <w:r>
        <w:rPr>
          <w:spacing w:val="-2"/>
        </w:rPr>
        <w:t xml:space="preserve">comprise the </w:t>
      </w:r>
      <w:r w:rsidRPr="00B01903">
        <w:rPr>
          <w:spacing w:val="-2"/>
        </w:rPr>
        <w:t>following</w:t>
      </w:r>
      <w:r w:rsidRPr="00176532">
        <w:rPr>
          <w:spacing w:val="-2"/>
        </w:rPr>
        <w:t xml:space="preserve"> parts:</w:t>
      </w:r>
    </w:p>
    <w:p w:rsidR="0048174D" w:rsidRDefault="0048174D" w:rsidP="00590145">
      <w:pPr>
        <w:spacing w:before="240"/>
        <w:jc w:val="both"/>
        <w:rPr>
          <w:bCs/>
        </w:rPr>
      </w:pPr>
      <w:r>
        <w:rPr>
          <w:spacing w:val="-2"/>
        </w:rPr>
        <w:t>T</w:t>
      </w:r>
      <w:r w:rsidRPr="00CD127D">
        <w:rPr>
          <w:bCs/>
        </w:rPr>
        <w:t xml:space="preserve">he Contractor </w:t>
      </w:r>
      <w:r>
        <w:rPr>
          <w:bCs/>
        </w:rPr>
        <w:t>shall</w:t>
      </w:r>
      <w:r w:rsidRPr="00CD127D">
        <w:rPr>
          <w:bCs/>
        </w:rPr>
        <w:t xml:space="preserve"> design, construct, test and commission the Sludge Solar Dryers for </w:t>
      </w:r>
      <w:proofErr w:type="spellStart"/>
      <w:r w:rsidRPr="00CD127D">
        <w:rPr>
          <w:bCs/>
        </w:rPr>
        <w:t>Zahlé</w:t>
      </w:r>
      <w:proofErr w:type="spellEnd"/>
      <w:r w:rsidRPr="00CD127D">
        <w:rPr>
          <w:bCs/>
        </w:rPr>
        <w:t xml:space="preserve"> Wastewater Treatment Plant on a Design-Build basis.</w:t>
      </w:r>
    </w:p>
    <w:p w:rsidR="0048174D" w:rsidRDefault="0048174D" w:rsidP="00590145">
      <w:pPr>
        <w:spacing w:before="240"/>
        <w:jc w:val="both"/>
        <w:rPr>
          <w:bCs/>
        </w:rPr>
      </w:pPr>
      <w:r w:rsidRPr="00CD127D">
        <w:rPr>
          <w:bCs/>
        </w:rPr>
        <w:t xml:space="preserve">The Contractor </w:t>
      </w:r>
      <w:r>
        <w:rPr>
          <w:bCs/>
        </w:rPr>
        <w:t>shall</w:t>
      </w:r>
      <w:r w:rsidRPr="00CD127D">
        <w:rPr>
          <w:bCs/>
        </w:rPr>
        <w:t xml:space="preserve"> define the process and determine the individual process units to achieve the required performance criteria</w:t>
      </w:r>
      <w:r>
        <w:rPr>
          <w:bCs/>
        </w:rPr>
        <w:t>.</w:t>
      </w:r>
    </w:p>
    <w:p w:rsidR="0048174D" w:rsidRDefault="0048174D" w:rsidP="00590145">
      <w:pPr>
        <w:spacing w:before="240"/>
        <w:jc w:val="both"/>
        <w:rPr>
          <w:bCs/>
        </w:rPr>
      </w:pPr>
      <w:r w:rsidRPr="00CD127D">
        <w:rPr>
          <w:bCs/>
        </w:rPr>
        <w:t>The selected drying process shall make use of greenhouse treatment after sludge dewatering, turning of the sludge via a turning machine with associated ventilation system.</w:t>
      </w:r>
    </w:p>
    <w:p w:rsidR="0048174D" w:rsidRDefault="0048174D" w:rsidP="00590145">
      <w:pPr>
        <w:spacing w:before="240"/>
        <w:jc w:val="both"/>
        <w:rPr>
          <w:bCs/>
        </w:rPr>
      </w:pPr>
      <w:r w:rsidRPr="00CD127D">
        <w:rPr>
          <w:bCs/>
        </w:rPr>
        <w:t xml:space="preserve">The scope includes the management of sludge quantities to be generated at </w:t>
      </w:r>
      <w:r>
        <w:rPr>
          <w:bCs/>
        </w:rPr>
        <w:t xml:space="preserve">a </w:t>
      </w:r>
      <w:r w:rsidRPr="00CD127D">
        <w:rPr>
          <w:bCs/>
        </w:rPr>
        <w:t>projected capacity of (25,000 m³/day of wastewater), whilst the Contractor shall provide the Employer with the provision of expansion of the scope to cover the management of sludge quantities to be generated at the full capacity (37,000 m³/day of wastewater) and to the maximum provisional expansion capacity of the was</w:t>
      </w:r>
      <w:r>
        <w:rPr>
          <w:bCs/>
        </w:rPr>
        <w:t xml:space="preserve">tewater treatment plant (56,000 </w:t>
      </w:r>
      <w:r w:rsidRPr="00CD127D">
        <w:rPr>
          <w:bCs/>
        </w:rPr>
        <w:t>m³/day of wastewater).</w:t>
      </w:r>
    </w:p>
    <w:p w:rsidR="0048174D" w:rsidRDefault="0048174D" w:rsidP="00590145">
      <w:pPr>
        <w:spacing w:before="240"/>
        <w:jc w:val="both"/>
        <w:rPr>
          <w:spacing w:val="-2"/>
        </w:rPr>
      </w:pPr>
      <w:r>
        <w:rPr>
          <w:bCs/>
        </w:rPr>
        <w:t>Any</w:t>
      </w:r>
      <w:r w:rsidRPr="00CD127D">
        <w:rPr>
          <w:bCs/>
        </w:rPr>
        <w:t xml:space="preserve"> criteri</w:t>
      </w:r>
      <w:r>
        <w:rPr>
          <w:bCs/>
        </w:rPr>
        <w:t>on</w:t>
      </w:r>
      <w:r w:rsidRPr="00CD127D">
        <w:rPr>
          <w:bCs/>
        </w:rPr>
        <w:t xml:space="preserve"> not maintained after Works</w:t>
      </w:r>
      <w:r>
        <w:rPr>
          <w:bCs/>
        </w:rPr>
        <w:t xml:space="preserve"> </w:t>
      </w:r>
      <w:r w:rsidRPr="00CD127D">
        <w:rPr>
          <w:bCs/>
        </w:rPr>
        <w:t xml:space="preserve">commissioning, the Contractor </w:t>
      </w:r>
      <w:r>
        <w:rPr>
          <w:bCs/>
        </w:rPr>
        <w:t>sha</w:t>
      </w:r>
      <w:r w:rsidRPr="00CD127D">
        <w:rPr>
          <w:bCs/>
        </w:rPr>
        <w:t xml:space="preserve">ll suffer </w:t>
      </w:r>
      <w:r>
        <w:rPr>
          <w:bCs/>
        </w:rPr>
        <w:t xml:space="preserve">a </w:t>
      </w:r>
      <w:r w:rsidRPr="00CD127D">
        <w:rPr>
          <w:bCs/>
        </w:rPr>
        <w:t>penalt</w:t>
      </w:r>
      <w:r>
        <w:rPr>
          <w:bCs/>
        </w:rPr>
        <w:t>y.</w:t>
      </w:r>
    </w:p>
    <w:p w:rsidR="009D056F" w:rsidRPr="00E11DC8" w:rsidRDefault="009D056F" w:rsidP="0048174D">
      <w:pPr>
        <w:pStyle w:val="NormalWeb"/>
        <w:jc w:val="both"/>
      </w:pPr>
      <w:r w:rsidRPr="00E11DC8">
        <w:t xml:space="preserve">The </w:t>
      </w:r>
      <w:r w:rsidR="00A22443">
        <w:t>S</w:t>
      </w:r>
      <w:r w:rsidRPr="00E11DC8">
        <w:t xml:space="preserve">ervices include the supervision of </w:t>
      </w:r>
      <w:r w:rsidR="0048174D">
        <w:t>the “</w:t>
      </w:r>
      <w:r w:rsidR="0048174D" w:rsidRPr="0048174D">
        <w:rPr>
          <w:b/>
          <w:color w:val="44546A"/>
        </w:rPr>
        <w:t xml:space="preserve">Construction of the Remaining Works Related to the Expansion of Sewage Networks to Connect to </w:t>
      </w:r>
      <w:proofErr w:type="spellStart"/>
      <w:r w:rsidR="0048174D" w:rsidRPr="0048174D">
        <w:rPr>
          <w:b/>
          <w:color w:val="44546A"/>
        </w:rPr>
        <w:t>Zahlé</w:t>
      </w:r>
      <w:proofErr w:type="spellEnd"/>
      <w:r w:rsidR="0048174D" w:rsidRPr="0048174D">
        <w:rPr>
          <w:b/>
          <w:color w:val="44546A"/>
        </w:rPr>
        <w:t xml:space="preserve"> and to </w:t>
      </w:r>
      <w:proofErr w:type="spellStart"/>
      <w:r w:rsidR="0048174D" w:rsidRPr="0048174D">
        <w:rPr>
          <w:b/>
          <w:color w:val="44546A"/>
        </w:rPr>
        <w:t>Aitanit</w:t>
      </w:r>
      <w:proofErr w:type="spellEnd"/>
      <w:r w:rsidR="0048174D" w:rsidRPr="0048174D">
        <w:rPr>
          <w:b/>
          <w:color w:val="44546A"/>
        </w:rPr>
        <w:t xml:space="preserve"> Wastewater Treatment Plants (QC1W1a)</w:t>
      </w:r>
      <w:r w:rsidR="0048174D">
        <w:t>” and the “</w:t>
      </w:r>
      <w:r w:rsidR="0048174D" w:rsidRPr="0048174D">
        <w:rPr>
          <w:b/>
          <w:color w:val="44546A"/>
        </w:rPr>
        <w:t xml:space="preserve">Design and Construction of Sludge Solar Dryers for </w:t>
      </w:r>
      <w:proofErr w:type="spellStart"/>
      <w:r w:rsidR="0048174D" w:rsidRPr="0048174D">
        <w:rPr>
          <w:b/>
          <w:color w:val="44546A"/>
        </w:rPr>
        <w:t>Zahlé</w:t>
      </w:r>
      <w:proofErr w:type="spellEnd"/>
      <w:r w:rsidR="0048174D" w:rsidRPr="0048174D">
        <w:rPr>
          <w:b/>
          <w:color w:val="44546A"/>
        </w:rPr>
        <w:t xml:space="preserve"> WWTP (QC1W5)</w:t>
      </w:r>
      <w:r w:rsidR="0048174D">
        <w:t>”</w:t>
      </w:r>
      <w:r w:rsidRPr="00E11DC8">
        <w:t xml:space="preserve">. </w:t>
      </w:r>
    </w:p>
    <w:p w:rsidR="009C4A85" w:rsidRDefault="009D056F" w:rsidP="009C4A85">
      <w:pPr>
        <w:pStyle w:val="NormalWeb"/>
        <w:jc w:val="both"/>
      </w:pPr>
      <w:r w:rsidRPr="00E11DC8">
        <w:t xml:space="preserve">The </w:t>
      </w:r>
      <w:r w:rsidR="009C4A85">
        <w:t xml:space="preserve">main </w:t>
      </w:r>
      <w:r w:rsidRPr="00E11DC8">
        <w:t xml:space="preserve">objective of the </w:t>
      </w:r>
      <w:r w:rsidR="00A22443" w:rsidRPr="00E11DC8">
        <w:t>S</w:t>
      </w:r>
      <w:r w:rsidRPr="00E11DC8">
        <w:t xml:space="preserve">ervices is to ensure that the Contractor </w:t>
      </w:r>
      <w:r w:rsidR="0048174D">
        <w:t xml:space="preserve">of each contract </w:t>
      </w:r>
      <w:r w:rsidRPr="00E11DC8">
        <w:t>(QC1W</w:t>
      </w:r>
      <w:r w:rsidR="0048174D">
        <w:t xml:space="preserve">1a </w:t>
      </w:r>
      <w:r w:rsidR="009C4A85">
        <w:t>and</w:t>
      </w:r>
      <w:r w:rsidR="0048174D">
        <w:t xml:space="preserve"> QC1W5</w:t>
      </w:r>
      <w:r w:rsidRPr="00E11DC8">
        <w:t>) compl</w:t>
      </w:r>
      <w:r w:rsidR="009C4A85">
        <w:t>ies</w:t>
      </w:r>
      <w:r w:rsidRPr="00E11DC8">
        <w:t xml:space="preserve"> with the </w:t>
      </w:r>
      <w:r w:rsidR="009C4A85">
        <w:t>D</w:t>
      </w:r>
      <w:r w:rsidRPr="00E11DC8">
        <w:t xml:space="preserve">esign, </w:t>
      </w:r>
      <w:r w:rsidR="009C4A85">
        <w:t>S</w:t>
      </w:r>
      <w:r w:rsidRPr="00E11DC8">
        <w:t xml:space="preserve">pecifications, </w:t>
      </w:r>
      <w:r w:rsidR="009C4A85">
        <w:t>Drawings, Employer’s Requirements, Particular Requirements,</w:t>
      </w:r>
      <w:r w:rsidR="009C4A85" w:rsidRPr="00E11DC8">
        <w:t xml:space="preserve"> </w:t>
      </w:r>
      <w:r w:rsidRPr="00E11DC8">
        <w:t xml:space="preserve">quality, cost and time schedule of all activities contained in the </w:t>
      </w:r>
      <w:r w:rsidR="009C4A85">
        <w:t>contract.</w:t>
      </w:r>
    </w:p>
    <w:p w:rsidR="009D056F" w:rsidRPr="00E11DC8" w:rsidRDefault="009C4A85" w:rsidP="009C4A85">
      <w:pPr>
        <w:pStyle w:val="NormalWeb"/>
        <w:jc w:val="both"/>
      </w:pPr>
      <w:r w:rsidRPr="00696327">
        <w:t xml:space="preserve">The time for completion of the </w:t>
      </w:r>
      <w:r w:rsidRPr="00696327">
        <w:rPr>
          <w:snapToGrid w:val="0"/>
        </w:rPr>
        <w:t xml:space="preserve">Construction Contract </w:t>
      </w:r>
      <w:r w:rsidRPr="009C4A85">
        <w:rPr>
          <w:b/>
          <w:color w:val="44546A"/>
        </w:rPr>
        <w:t>(QC1W1a)</w:t>
      </w:r>
      <w:r w:rsidRPr="00696327">
        <w:rPr>
          <w:snapToGrid w:val="0"/>
        </w:rPr>
        <w:t xml:space="preserve"> </w:t>
      </w:r>
      <w:r w:rsidRPr="00696327">
        <w:t xml:space="preserve">is </w:t>
      </w:r>
      <w:r w:rsidRPr="00696327">
        <w:rPr>
          <w:b/>
          <w:bCs/>
        </w:rPr>
        <w:t>10 months</w:t>
      </w:r>
      <w:r w:rsidRPr="00696327">
        <w:t xml:space="preserve"> followed by a Defects Liability Period of </w:t>
      </w:r>
      <w:r w:rsidRPr="00696327">
        <w:rPr>
          <w:b/>
          <w:bCs/>
        </w:rPr>
        <w:t>12 months</w:t>
      </w:r>
      <w:r w:rsidRPr="00696327">
        <w:t xml:space="preserve">, </w:t>
      </w:r>
      <w:r w:rsidRPr="00696327">
        <w:rPr>
          <w:snapToGrid w:val="0"/>
        </w:rPr>
        <w:t xml:space="preserve">and </w:t>
      </w:r>
      <w:r>
        <w:t>t</w:t>
      </w:r>
      <w:r w:rsidRPr="00696327">
        <w:t xml:space="preserve">he time for completion of </w:t>
      </w:r>
      <w:r w:rsidRPr="00696327">
        <w:rPr>
          <w:snapToGrid w:val="0"/>
        </w:rPr>
        <w:t xml:space="preserve">the Design &amp; Build Contract </w:t>
      </w:r>
      <w:r w:rsidRPr="009C4A85">
        <w:rPr>
          <w:b/>
          <w:color w:val="44546A"/>
        </w:rPr>
        <w:t>(QC1W5)</w:t>
      </w:r>
      <w:r w:rsidRPr="00696327">
        <w:t xml:space="preserve"> is </w:t>
      </w:r>
      <w:r w:rsidRPr="00696327">
        <w:rPr>
          <w:b/>
          <w:bCs/>
        </w:rPr>
        <w:t>5 months</w:t>
      </w:r>
      <w:r w:rsidRPr="00696327">
        <w:t xml:space="preserve"> followed by a Defects Liability Period of </w:t>
      </w:r>
      <w:r w:rsidRPr="00696327">
        <w:rPr>
          <w:b/>
          <w:bCs/>
        </w:rPr>
        <w:t>12 months</w:t>
      </w:r>
      <w:r w:rsidRPr="00696327">
        <w:rPr>
          <w:snapToGrid w:val="0"/>
        </w:rPr>
        <w:t>.</w:t>
      </w:r>
      <w:r>
        <w:rPr>
          <w:snapToGrid w:val="0"/>
        </w:rPr>
        <w:t xml:space="preserve"> </w:t>
      </w:r>
      <w:r w:rsidRPr="00C11A94">
        <w:t xml:space="preserve">It shall be noted that the commencement of Works for both contracts is NOT at the same time, and the </w:t>
      </w:r>
      <w:r>
        <w:t xml:space="preserve">5-month </w:t>
      </w:r>
      <w:r w:rsidRPr="00C11A94">
        <w:t xml:space="preserve">execution period of the </w:t>
      </w:r>
      <w:r w:rsidRPr="009C4A85">
        <w:rPr>
          <w:b/>
          <w:color w:val="44546A"/>
        </w:rPr>
        <w:t xml:space="preserve">Design &amp; Construction of Sludge Solar Dryers for </w:t>
      </w:r>
      <w:proofErr w:type="spellStart"/>
      <w:r w:rsidRPr="009C4A85">
        <w:rPr>
          <w:b/>
          <w:color w:val="44546A"/>
        </w:rPr>
        <w:t>Zahlé</w:t>
      </w:r>
      <w:proofErr w:type="spellEnd"/>
      <w:r w:rsidRPr="009C4A85">
        <w:rPr>
          <w:b/>
          <w:color w:val="44546A"/>
        </w:rPr>
        <w:t xml:space="preserve"> WWTP (QC1W5)</w:t>
      </w:r>
      <w:r w:rsidRPr="0035726D">
        <w:t xml:space="preserve"> contract </w:t>
      </w:r>
      <w:r w:rsidRPr="00C11A94">
        <w:t xml:space="preserve">shall fall in the 10-month execution period of the </w:t>
      </w:r>
      <w:r w:rsidRPr="009C4A85">
        <w:rPr>
          <w:b/>
          <w:color w:val="44546A"/>
        </w:rPr>
        <w:t xml:space="preserve">Construction of the Remaining Works Related to the Expansion of Sewage Networks to Connect to </w:t>
      </w:r>
      <w:proofErr w:type="spellStart"/>
      <w:r w:rsidRPr="009C4A85">
        <w:rPr>
          <w:b/>
          <w:color w:val="44546A"/>
        </w:rPr>
        <w:t>Zahlé</w:t>
      </w:r>
      <w:proofErr w:type="spellEnd"/>
      <w:r w:rsidRPr="009C4A85">
        <w:rPr>
          <w:b/>
          <w:color w:val="44546A"/>
        </w:rPr>
        <w:t xml:space="preserve"> and to </w:t>
      </w:r>
      <w:proofErr w:type="spellStart"/>
      <w:r w:rsidRPr="009C4A85">
        <w:rPr>
          <w:b/>
          <w:color w:val="44546A"/>
        </w:rPr>
        <w:t>Aitanit</w:t>
      </w:r>
      <w:proofErr w:type="spellEnd"/>
      <w:r w:rsidRPr="009C4A85">
        <w:rPr>
          <w:b/>
          <w:color w:val="44546A"/>
        </w:rPr>
        <w:t xml:space="preserve"> WWTP (QC1W1a)</w:t>
      </w:r>
      <w:r w:rsidRPr="0035726D">
        <w:t xml:space="preserve"> contract</w:t>
      </w:r>
      <w:r>
        <w:t>.</w:t>
      </w:r>
    </w:p>
    <w:p w:rsidR="009D056F" w:rsidRDefault="009D056F" w:rsidP="00656334">
      <w:pPr>
        <w:pStyle w:val="NormalWeb"/>
        <w:jc w:val="both"/>
      </w:pPr>
      <w:r w:rsidRPr="00E11DC8">
        <w:t>The Council for Development and Reconstruction (CDR) acting as executing agency on behalf of the Government of Lebanon now invites eligible consulting firms ("Consultants") to indicate their interest in providing the Services. Interested Consultants should provide information demonstrating that they have the required qualifications and relevant experience to perform the Services (brochures, description of similar assignments, experience in similar conditions, availability of appropriate skills among staff, etc.), in a responsive way to the below noted requirements.</w:t>
      </w:r>
    </w:p>
    <w:p w:rsidR="009D056F" w:rsidRPr="00E71B84" w:rsidRDefault="009D056F" w:rsidP="00F820AA">
      <w:pPr>
        <w:pStyle w:val="NormalWeb"/>
        <w:jc w:val="both"/>
        <w:rPr>
          <w:b/>
          <w:bCs/>
          <w:u w:val="single"/>
        </w:rPr>
      </w:pPr>
      <w:r w:rsidRPr="00E11DC8">
        <w:lastRenderedPageBreak/>
        <w:t>Interested consultants are requested to provide the following information</w:t>
      </w:r>
      <w:r>
        <w:t xml:space="preserve">, </w:t>
      </w:r>
      <w:r w:rsidRPr="00E71B84">
        <w:rPr>
          <w:b/>
          <w:bCs/>
          <w:u w:val="single"/>
        </w:rPr>
        <w:t>in a binder, and in the same order as listed below</w:t>
      </w:r>
      <w:r w:rsidR="0076412B">
        <w:t xml:space="preserve">, and shall </w:t>
      </w:r>
      <w:r w:rsidR="00F820AA">
        <w:t xml:space="preserve">use and </w:t>
      </w:r>
      <w:r w:rsidR="007E3B4B">
        <w:t>fill</w:t>
      </w:r>
      <w:r w:rsidR="00F820AA">
        <w:t>-</w:t>
      </w:r>
      <w:r w:rsidR="007E3B4B">
        <w:t>in</w:t>
      </w:r>
      <w:r w:rsidR="0076412B" w:rsidRPr="0076412B">
        <w:t xml:space="preserve"> the </w:t>
      </w:r>
      <w:r w:rsidR="0076412B" w:rsidRPr="0076412B">
        <w:rPr>
          <w:b/>
          <w:bCs/>
        </w:rPr>
        <w:t xml:space="preserve">attached </w:t>
      </w:r>
      <w:r w:rsidR="007E3B4B">
        <w:rPr>
          <w:b/>
          <w:bCs/>
        </w:rPr>
        <w:t>Consultant Information F</w:t>
      </w:r>
      <w:r w:rsidR="0076412B" w:rsidRPr="0076412B">
        <w:rPr>
          <w:b/>
          <w:bCs/>
        </w:rPr>
        <w:t>orm</w:t>
      </w:r>
      <w:r w:rsidR="00F820AA">
        <w:t xml:space="preserve">, </w:t>
      </w:r>
      <w:r w:rsidR="0076412B" w:rsidRPr="0076412B">
        <w:t xml:space="preserve">and submit </w:t>
      </w:r>
      <w:r w:rsidR="007E3B4B">
        <w:t xml:space="preserve">it in </w:t>
      </w:r>
      <w:r w:rsidR="0076412B" w:rsidRPr="0076412B">
        <w:t xml:space="preserve">one hard copy and one editable </w:t>
      </w:r>
      <w:r w:rsidR="007E3B4B">
        <w:t>(</w:t>
      </w:r>
      <w:r w:rsidR="007E3B4B" w:rsidRPr="0076412B">
        <w:t xml:space="preserve">Excel </w:t>
      </w:r>
      <w:r w:rsidR="007E3B4B">
        <w:t xml:space="preserve">or Word </w:t>
      </w:r>
      <w:r w:rsidR="007E3B4B" w:rsidRPr="0076412B">
        <w:t>format</w:t>
      </w:r>
      <w:r w:rsidR="007E3B4B">
        <w:t>)</w:t>
      </w:r>
      <w:r w:rsidR="007E3B4B" w:rsidRPr="0076412B">
        <w:t xml:space="preserve"> </w:t>
      </w:r>
      <w:r w:rsidR="0076412B" w:rsidRPr="0076412B">
        <w:t>soft copy in</w:t>
      </w:r>
      <w:r w:rsidRPr="0076412B">
        <w:t>:</w:t>
      </w:r>
    </w:p>
    <w:p w:rsidR="009D056F" w:rsidRDefault="009D056F" w:rsidP="009D056F">
      <w:pPr>
        <w:numPr>
          <w:ilvl w:val="0"/>
          <w:numId w:val="1"/>
        </w:numPr>
        <w:jc w:val="both"/>
      </w:pPr>
      <w:r>
        <w:t xml:space="preserve">A duly completed Cover Letter stating the interest of the applicant in providing the mentioned services. </w:t>
      </w:r>
    </w:p>
    <w:p w:rsidR="009D056F" w:rsidRDefault="009D056F" w:rsidP="00934365">
      <w:pPr>
        <w:numPr>
          <w:ilvl w:val="0"/>
          <w:numId w:val="1"/>
        </w:numPr>
        <w:spacing w:before="120"/>
        <w:jc w:val="both"/>
      </w:pPr>
      <w:r>
        <w:t xml:space="preserve">A </w:t>
      </w:r>
      <w:r w:rsidRPr="00DC4AD9">
        <w:rPr>
          <w:b/>
          <w:bCs/>
          <w:u w:val="single"/>
        </w:rPr>
        <w:t>concise</w:t>
      </w:r>
      <w:r>
        <w:t xml:space="preserve"> presentation of the firm(s) (brochures, statements of type, property and key tasks etc</w:t>
      </w:r>
      <w:r w:rsidR="00F32229">
        <w:t>.</w:t>
      </w:r>
      <w:r>
        <w:t>).</w:t>
      </w:r>
    </w:p>
    <w:p w:rsidR="009D056F" w:rsidRDefault="009D056F" w:rsidP="00934365">
      <w:pPr>
        <w:numPr>
          <w:ilvl w:val="0"/>
          <w:numId w:val="1"/>
        </w:numPr>
        <w:spacing w:before="120"/>
        <w:jc w:val="both"/>
      </w:pPr>
      <w:r>
        <w:t>Certified statement of financial capacity, for the lead and associated partners (turnovers and balance sheets of the last three years).</w:t>
      </w:r>
    </w:p>
    <w:p w:rsidR="009D056F" w:rsidRDefault="009D056F" w:rsidP="0076412B">
      <w:pPr>
        <w:numPr>
          <w:ilvl w:val="0"/>
          <w:numId w:val="1"/>
        </w:numPr>
        <w:spacing w:before="120"/>
        <w:jc w:val="both"/>
      </w:pPr>
      <w:r>
        <w:t xml:space="preserve">List of </w:t>
      </w:r>
      <w:r w:rsidRPr="00DC4AD9">
        <w:rPr>
          <w:b/>
          <w:bCs/>
          <w:u w:val="single"/>
        </w:rPr>
        <w:t>ONLY</w:t>
      </w:r>
      <w:r>
        <w:t xml:space="preserve"> relevant similar projects, ongoing and/or completed within the last 10 years, indicating the provided services, the percentage of participation in JV (if any), and the size of r</w:t>
      </w:r>
      <w:r w:rsidR="009C4A85">
        <w:t>elevant contracts (in USD and</w:t>
      </w:r>
      <w:r>
        <w:t xml:space="preserve"> in </w:t>
      </w:r>
      <w:r w:rsidR="009C4A85">
        <w:t>person</w:t>
      </w:r>
      <w:r w:rsidR="0076412B">
        <w:t>-month).</w:t>
      </w:r>
    </w:p>
    <w:p w:rsidR="009D056F" w:rsidRDefault="009D056F" w:rsidP="0076412B">
      <w:pPr>
        <w:numPr>
          <w:ilvl w:val="0"/>
          <w:numId w:val="1"/>
        </w:numPr>
        <w:spacing w:before="120"/>
        <w:jc w:val="both"/>
      </w:pPr>
      <w:r>
        <w:t xml:space="preserve">Detailed descriptions of at least three (3) handled similar projects </w:t>
      </w:r>
      <w:r w:rsidRPr="00DC4AD9">
        <w:rPr>
          <w:b/>
          <w:bCs/>
          <w:u w:val="single"/>
        </w:rPr>
        <w:t>within the last ten (10) years ONLY</w:t>
      </w:r>
      <w:r w:rsidRPr="009C4A85">
        <w:t>.</w:t>
      </w:r>
    </w:p>
    <w:p w:rsidR="009D056F" w:rsidRDefault="009D056F" w:rsidP="00CC4A75">
      <w:pPr>
        <w:numPr>
          <w:ilvl w:val="0"/>
          <w:numId w:val="1"/>
        </w:numPr>
        <w:spacing w:before="120"/>
        <w:jc w:val="both"/>
      </w:pPr>
      <w:r>
        <w:t>List of available professional key personnel for the envisaged consultancy services (</w:t>
      </w:r>
      <w:r w:rsidR="00CC4A75" w:rsidRPr="00DC4A6C">
        <w:t>Project Manager</w:t>
      </w:r>
      <w:r>
        <w:t xml:space="preserve">, </w:t>
      </w:r>
      <w:r w:rsidR="00CC4A75">
        <w:t xml:space="preserve">Civil </w:t>
      </w:r>
      <w:r w:rsidR="00CC4A75" w:rsidRPr="00DC4A6C">
        <w:t>Engineer</w:t>
      </w:r>
      <w:r>
        <w:t xml:space="preserve">, </w:t>
      </w:r>
      <w:r w:rsidR="00CC4A75" w:rsidRPr="00DC4A6C">
        <w:t>Land Surveyor</w:t>
      </w:r>
      <w:r w:rsidR="00CC4A75">
        <w:t xml:space="preserve">, three </w:t>
      </w:r>
      <w:r w:rsidR="00CC4A75" w:rsidRPr="00DC4A6C">
        <w:t>Site Inspector</w:t>
      </w:r>
      <w:r w:rsidR="00CC4A75">
        <w:t xml:space="preserve">s, </w:t>
      </w:r>
      <w:r w:rsidR="00CC4A75" w:rsidRPr="00DC4A6C">
        <w:t>Environmental &amp; Social Specialist</w:t>
      </w:r>
      <w:r w:rsidR="00CC4A75">
        <w:t xml:space="preserve">, </w:t>
      </w:r>
      <w:r w:rsidR="00CC4A75" w:rsidRPr="00DC4A6C">
        <w:t>Electro-Mechanical Engineer</w:t>
      </w:r>
      <w:r w:rsidR="00CC4A75">
        <w:t xml:space="preserve">, </w:t>
      </w:r>
      <w:r w:rsidR="007E3B4B">
        <w:t xml:space="preserve">and </w:t>
      </w:r>
      <w:r w:rsidR="00CC4A75" w:rsidRPr="00DC4A6C">
        <w:t>Process Engineer</w:t>
      </w:r>
      <w:r w:rsidR="007E3B4B">
        <w:t>.</w:t>
      </w:r>
      <w:r>
        <w:t>)</w:t>
      </w:r>
    </w:p>
    <w:p w:rsidR="009D056F" w:rsidRDefault="009D056F" w:rsidP="00934365">
      <w:pPr>
        <w:numPr>
          <w:ilvl w:val="0"/>
          <w:numId w:val="1"/>
        </w:numPr>
        <w:spacing w:before="120"/>
        <w:jc w:val="both"/>
      </w:pPr>
      <w:r>
        <w:t>Overall firm's employees list and personnel availability and structure (list, number, organization structure, etc… of the core, backstoppin</w:t>
      </w:r>
      <w:r w:rsidR="002E6CB1">
        <w:t>g and supporting staff).</w:t>
      </w:r>
    </w:p>
    <w:p w:rsidR="009D056F" w:rsidRPr="00E11DC8" w:rsidRDefault="009D056F" w:rsidP="009D056F">
      <w:pPr>
        <w:pStyle w:val="NormalWeb"/>
        <w:jc w:val="both"/>
      </w:pPr>
      <w:r w:rsidRPr="00E11DC8">
        <w:t xml:space="preserve">The attention of interested Consultants is drawn to paragraph 1.9 of the World Bank's </w:t>
      </w:r>
      <w:r w:rsidRPr="00E11DC8">
        <w:rPr>
          <w:rStyle w:val="Emphasis"/>
          <w:u w:val="single"/>
        </w:rPr>
        <w:t>Guidelines: Selection and Employment of Consultants under IBRD Loans and IDA Credits and Grants by World Bank Borrowers</w:t>
      </w:r>
      <w:r w:rsidRPr="00E11DC8">
        <w:rPr>
          <w:u w:val="single"/>
        </w:rPr>
        <w:t xml:space="preserve"> </w:t>
      </w:r>
      <w:r w:rsidRPr="00E11DC8">
        <w:t>dated January 2011 (revised July 2014) ("Consultant Guidelines"), setting forth the World Bank's p</w:t>
      </w:r>
      <w:r w:rsidR="00F32229">
        <w:t>olicy on conflict of interest.</w:t>
      </w:r>
    </w:p>
    <w:p w:rsidR="009D056F" w:rsidRDefault="009D056F" w:rsidP="004F3203">
      <w:pPr>
        <w:pStyle w:val="NormalWeb"/>
        <w:jc w:val="both"/>
      </w:pPr>
      <w:r w:rsidRPr="00E11DC8">
        <w:t xml:space="preserve">Consultants may associate with </w:t>
      </w:r>
      <w:r w:rsidR="004F3203">
        <w:t>an</w:t>
      </w:r>
      <w:r w:rsidRPr="00E11DC8">
        <w:t xml:space="preserve">other firm in the form of a "Joint Venture" to enhance their qualifications, name and nationality of the partner in charge shall be specified. The total number of firms (JV) should be maximum </w:t>
      </w:r>
      <w:r w:rsidR="004F3203">
        <w:t>t</w:t>
      </w:r>
      <w:r w:rsidRPr="00E11DC8">
        <w:t>wo</w:t>
      </w:r>
      <w:r w:rsidR="004F3203">
        <w:t xml:space="preserve"> (2)</w:t>
      </w:r>
      <w:r w:rsidRPr="00E11DC8">
        <w:t>. All members (maximum two) should have well defined inputs to the assignment, and shall be jointly and severally liable for the entire consultant's obligations under the contract.</w:t>
      </w:r>
    </w:p>
    <w:p w:rsidR="008745C4" w:rsidRPr="00E11DC8" w:rsidRDefault="008745C4" w:rsidP="004F3203">
      <w:pPr>
        <w:pStyle w:val="NormalWeb"/>
        <w:jc w:val="both"/>
      </w:pPr>
    </w:p>
    <w:p w:rsidR="009D056F" w:rsidRPr="00E11DC8" w:rsidRDefault="009D056F" w:rsidP="00BD18ED">
      <w:pPr>
        <w:pStyle w:val="NormalWeb"/>
        <w:spacing w:before="0" w:beforeAutospacing="0" w:after="0" w:afterAutospacing="0"/>
        <w:jc w:val="both"/>
      </w:pPr>
      <w:r w:rsidRPr="00E11DC8">
        <w:t>A Consultant will be selected in accordance with the Quality and Cost Base</w:t>
      </w:r>
      <w:r w:rsidR="00DC4558">
        <w:t>d</w:t>
      </w:r>
      <w:r w:rsidRPr="00E11DC8">
        <w:t xml:space="preserve"> Selection method set out in the Consultant Guidelines. Eligible firms, which have submitted the necessary statements in a satisfactory responsive way, </w:t>
      </w:r>
      <w:r w:rsidR="00BD18ED">
        <w:t>might</w:t>
      </w:r>
      <w:r w:rsidRPr="00E11DC8">
        <w:t xml:space="preserve"> be short listed. The shortlisting process will be based on the following criteria:</w:t>
      </w:r>
    </w:p>
    <w:p w:rsidR="00B81E24" w:rsidRDefault="009D056F" w:rsidP="00B81E24">
      <w:pPr>
        <w:pStyle w:val="NormalWeb"/>
        <w:spacing w:before="0" w:beforeAutospacing="0" w:after="0" w:afterAutospacing="0"/>
        <w:ind w:left="720" w:hanging="360"/>
      </w:pPr>
      <w:r w:rsidRPr="00E11DC8">
        <w:t>1. Eligibility of the Applicant.</w:t>
      </w:r>
    </w:p>
    <w:p w:rsidR="00B81E24" w:rsidRDefault="009D056F" w:rsidP="00B81E24">
      <w:pPr>
        <w:pStyle w:val="NormalWeb"/>
        <w:spacing w:before="0" w:beforeAutospacing="0" w:after="0" w:afterAutospacing="0"/>
        <w:ind w:left="720" w:hanging="360"/>
      </w:pPr>
      <w:r w:rsidRPr="00E11DC8">
        <w:t>2. General experience in consultancy services.</w:t>
      </w:r>
    </w:p>
    <w:p w:rsidR="00B81E24" w:rsidRDefault="009D056F" w:rsidP="00B81E24">
      <w:pPr>
        <w:pStyle w:val="NormalWeb"/>
        <w:spacing w:before="0" w:beforeAutospacing="0" w:after="0" w:afterAutospacing="0"/>
        <w:ind w:left="720" w:hanging="360"/>
      </w:pPr>
      <w:r w:rsidRPr="00E11DC8">
        <w:t>3. Experience of the Firm in Similar Projects.</w:t>
      </w:r>
    </w:p>
    <w:p w:rsidR="00B81E24" w:rsidRDefault="009D056F" w:rsidP="00B81E24">
      <w:pPr>
        <w:pStyle w:val="NormalWeb"/>
        <w:spacing w:before="0" w:beforeAutospacing="0" w:after="0" w:afterAutospacing="0"/>
        <w:ind w:left="720" w:hanging="360"/>
      </w:pPr>
      <w:r w:rsidRPr="00E11DC8">
        <w:t>4. Availability of Appropriate Skills among staff.</w:t>
      </w:r>
    </w:p>
    <w:p w:rsidR="009D056F" w:rsidRPr="00E11DC8" w:rsidRDefault="009D056F" w:rsidP="00E47111">
      <w:pPr>
        <w:pStyle w:val="NormalWeb"/>
        <w:spacing w:before="0" w:beforeAutospacing="0" w:after="0" w:afterAutospacing="0"/>
        <w:ind w:left="720" w:hanging="360"/>
      </w:pPr>
      <w:r w:rsidRPr="00E11DC8">
        <w:t xml:space="preserve">5. Experience in </w:t>
      </w:r>
      <w:r w:rsidR="00E47111" w:rsidRPr="00E47111">
        <w:t xml:space="preserve">Lebanon and </w:t>
      </w:r>
      <w:r w:rsidR="00E47111">
        <w:t xml:space="preserve">in </w:t>
      </w:r>
      <w:r w:rsidR="00E47111" w:rsidRPr="00E47111">
        <w:t>the Middle East</w:t>
      </w:r>
      <w:r w:rsidR="00E4653F">
        <w:t>.</w:t>
      </w:r>
    </w:p>
    <w:p w:rsidR="009D056F" w:rsidRPr="00E11DC8" w:rsidRDefault="009D056F" w:rsidP="00B81E24">
      <w:pPr>
        <w:pStyle w:val="NormalWeb"/>
        <w:jc w:val="both"/>
      </w:pPr>
      <w:r w:rsidRPr="00E11DC8">
        <w:t>Further information can be obtained at the address below during office hours (from 0</w:t>
      </w:r>
      <w:r w:rsidR="00B81E24">
        <w:t>9</w:t>
      </w:r>
      <w:r w:rsidRPr="00E11DC8">
        <w:t>:00 to 1</w:t>
      </w:r>
      <w:r w:rsidR="00B81E24">
        <w:t>4</w:t>
      </w:r>
      <w:r w:rsidRPr="00E11DC8">
        <w:t>:00 Beirut local Time).</w:t>
      </w:r>
    </w:p>
    <w:p w:rsidR="00934365" w:rsidRDefault="00934365" w:rsidP="00925013">
      <w:pPr>
        <w:pStyle w:val="NormalWeb"/>
        <w:keepNext/>
        <w:jc w:val="both"/>
      </w:pPr>
      <w:r>
        <w:t xml:space="preserve">Expressions of Interest must be </w:t>
      </w:r>
      <w:r>
        <w:rPr>
          <w:b/>
          <w:bCs/>
        </w:rPr>
        <w:t>EITHER</w:t>
      </w:r>
      <w:r>
        <w:t xml:space="preserve"> </w:t>
      </w:r>
      <w:r>
        <w:rPr>
          <w:b/>
          <w:bCs/>
        </w:rPr>
        <w:t>submitted</w:t>
      </w:r>
      <w:r>
        <w:t xml:space="preserve"> </w:t>
      </w:r>
      <w:r>
        <w:rPr>
          <w:b/>
          <w:bCs/>
        </w:rPr>
        <w:t xml:space="preserve">Electronically </w:t>
      </w:r>
      <w:r>
        <w:t xml:space="preserve">on the following electronic address: </w:t>
      </w:r>
      <w:hyperlink r:id="rId11" w:history="1">
        <w:r>
          <w:rPr>
            <w:rStyle w:val="Hyperlink"/>
          </w:rPr>
          <w:t>ghinwah@cdr.gov.lb</w:t>
        </w:r>
      </w:hyperlink>
      <w:r>
        <w:t xml:space="preserve"> </w:t>
      </w:r>
      <w:r>
        <w:rPr>
          <w:b/>
          <w:bCs/>
        </w:rPr>
        <w:t>OR</w:t>
      </w:r>
      <w:r>
        <w:t xml:space="preserve"> delivered in a written form to the address below (in person or by postal mail) not later than 12:00 noon, Beirut local time on </w:t>
      </w:r>
      <w:r w:rsidR="00925013">
        <w:rPr>
          <w:b/>
          <w:bCs/>
        </w:rPr>
        <w:t>Wednesday September 6</w:t>
      </w:r>
      <w:r w:rsidR="00925013" w:rsidRPr="00925013">
        <w:rPr>
          <w:b/>
          <w:bCs/>
          <w:vertAlign w:val="superscript"/>
        </w:rPr>
        <w:t>th</w:t>
      </w:r>
      <w:r w:rsidR="00925013">
        <w:rPr>
          <w:b/>
          <w:bCs/>
        </w:rPr>
        <w:t>, 2023</w:t>
      </w:r>
      <w:r>
        <w:t>, mentioning as reference:</w:t>
      </w:r>
    </w:p>
    <w:p w:rsidR="009D056F" w:rsidRDefault="009D056F" w:rsidP="00934365">
      <w:pPr>
        <w:pStyle w:val="NormalWeb"/>
        <w:jc w:val="center"/>
        <w:rPr>
          <w:rStyle w:val="Strong"/>
        </w:rPr>
      </w:pPr>
      <w:r w:rsidRPr="00934365">
        <w:rPr>
          <w:rStyle w:val="Strong"/>
        </w:rPr>
        <w:t>"</w:t>
      </w:r>
      <w:r w:rsidR="00934365" w:rsidRPr="00934365">
        <w:rPr>
          <w:b/>
          <w:bCs/>
        </w:rPr>
        <w:t xml:space="preserve">Supervision Services for the Construction of the Remaining Works Related to the Expansion of Sewage Networks to Connect to </w:t>
      </w:r>
      <w:proofErr w:type="spellStart"/>
      <w:r w:rsidR="00934365" w:rsidRPr="00934365">
        <w:rPr>
          <w:b/>
          <w:bCs/>
        </w:rPr>
        <w:t>Zahlé</w:t>
      </w:r>
      <w:proofErr w:type="spellEnd"/>
      <w:r w:rsidR="00934365" w:rsidRPr="00934365">
        <w:rPr>
          <w:b/>
          <w:bCs/>
        </w:rPr>
        <w:t xml:space="preserve"> and to </w:t>
      </w:r>
      <w:proofErr w:type="spellStart"/>
      <w:r w:rsidR="00934365" w:rsidRPr="00934365">
        <w:rPr>
          <w:b/>
          <w:bCs/>
        </w:rPr>
        <w:t>Aitanit</w:t>
      </w:r>
      <w:proofErr w:type="spellEnd"/>
      <w:r w:rsidR="00934365" w:rsidRPr="00934365">
        <w:rPr>
          <w:b/>
          <w:bCs/>
        </w:rPr>
        <w:t xml:space="preserve"> WWTP and for the Design &amp; Construction of Sludge Solar Dryers for </w:t>
      </w:r>
      <w:proofErr w:type="spellStart"/>
      <w:r w:rsidR="00934365" w:rsidRPr="00934365">
        <w:rPr>
          <w:b/>
          <w:bCs/>
        </w:rPr>
        <w:t>Zahlé</w:t>
      </w:r>
      <w:proofErr w:type="spellEnd"/>
      <w:r w:rsidR="00934365" w:rsidRPr="00934365">
        <w:rPr>
          <w:b/>
          <w:bCs/>
        </w:rPr>
        <w:t xml:space="preserve"> WWTP (QC1C1b)</w:t>
      </w:r>
      <w:r w:rsidRPr="00934365">
        <w:rPr>
          <w:rStyle w:val="Strong"/>
        </w:rPr>
        <w:t>"</w:t>
      </w:r>
    </w:p>
    <w:p w:rsidR="00934365" w:rsidRPr="00934365" w:rsidRDefault="00934365" w:rsidP="00934365">
      <w:pPr>
        <w:pStyle w:val="NormalWeb"/>
      </w:pPr>
    </w:p>
    <w:p w:rsidR="00B76EA4" w:rsidRDefault="009D056F" w:rsidP="009D056F">
      <w:pPr>
        <w:rPr>
          <w:rStyle w:val="Strong"/>
          <w:u w:val="single"/>
        </w:rPr>
      </w:pPr>
      <w:r w:rsidRPr="00E11DC8">
        <w:rPr>
          <w:rStyle w:val="Strong"/>
          <w:u w:val="single"/>
        </w:rPr>
        <w:t>Address:</w:t>
      </w:r>
    </w:p>
    <w:p w:rsidR="00B76EA4" w:rsidRDefault="008745C4" w:rsidP="00B76EA4">
      <w:pPr>
        <w:rPr>
          <w:rStyle w:val="Strong"/>
        </w:rPr>
      </w:pPr>
      <w:r>
        <w:rPr>
          <w:rStyle w:val="Strong"/>
        </w:rPr>
        <w:t>Council for D</w:t>
      </w:r>
      <w:bookmarkStart w:id="0" w:name="_GoBack"/>
      <w:bookmarkEnd w:id="0"/>
      <w:r w:rsidR="009D056F" w:rsidRPr="00E11DC8">
        <w:rPr>
          <w:rStyle w:val="Strong"/>
        </w:rPr>
        <w:t>evelopment and Reconstruction (CDR)</w:t>
      </w:r>
    </w:p>
    <w:p w:rsidR="00B76EA4" w:rsidRDefault="009D056F" w:rsidP="00B76EA4">
      <w:pPr>
        <w:rPr>
          <w:rStyle w:val="Strong"/>
        </w:rPr>
      </w:pPr>
      <w:r w:rsidRPr="00E11DC8">
        <w:rPr>
          <w:rStyle w:val="Strong"/>
        </w:rPr>
        <w:t>Tenders Department</w:t>
      </w:r>
    </w:p>
    <w:p w:rsidR="00B76EA4" w:rsidRDefault="009D056F" w:rsidP="00B76EA4">
      <w:pPr>
        <w:rPr>
          <w:rStyle w:val="Strong"/>
        </w:rPr>
      </w:pPr>
      <w:proofErr w:type="spellStart"/>
      <w:r w:rsidRPr="00E11DC8">
        <w:rPr>
          <w:rStyle w:val="Strong"/>
        </w:rPr>
        <w:t>Tallet</w:t>
      </w:r>
      <w:proofErr w:type="spellEnd"/>
      <w:r w:rsidRPr="00E11DC8">
        <w:rPr>
          <w:rStyle w:val="Strong"/>
        </w:rPr>
        <w:t xml:space="preserve"> El </w:t>
      </w:r>
      <w:proofErr w:type="spellStart"/>
      <w:r w:rsidRPr="00E11DC8">
        <w:rPr>
          <w:rStyle w:val="Strong"/>
        </w:rPr>
        <w:t>Serail</w:t>
      </w:r>
      <w:proofErr w:type="spellEnd"/>
      <w:r w:rsidRPr="00E11DC8">
        <w:rPr>
          <w:rStyle w:val="Strong"/>
        </w:rPr>
        <w:t>, Beirut Central District</w:t>
      </w:r>
    </w:p>
    <w:p w:rsidR="00B76EA4" w:rsidRDefault="009D056F" w:rsidP="00B76EA4">
      <w:pPr>
        <w:rPr>
          <w:rStyle w:val="Strong"/>
        </w:rPr>
      </w:pPr>
      <w:r w:rsidRPr="00E11DC8">
        <w:rPr>
          <w:rStyle w:val="Strong"/>
        </w:rPr>
        <w:t xml:space="preserve">Beirut </w:t>
      </w:r>
      <w:r w:rsidR="00B76EA4">
        <w:rPr>
          <w:rStyle w:val="Strong"/>
        </w:rPr>
        <w:t>–</w:t>
      </w:r>
      <w:r w:rsidRPr="00E11DC8">
        <w:rPr>
          <w:rStyle w:val="Strong"/>
        </w:rPr>
        <w:t xml:space="preserve"> Lebanon</w:t>
      </w:r>
    </w:p>
    <w:p w:rsidR="00B76EA4" w:rsidRDefault="00B76EA4" w:rsidP="00B76EA4">
      <w:pPr>
        <w:rPr>
          <w:rStyle w:val="Strong"/>
        </w:rPr>
      </w:pPr>
      <w:r>
        <w:rPr>
          <w:rStyle w:val="Strong"/>
        </w:rPr>
        <w:t>Tel. +961-1 980 096</w:t>
      </w:r>
    </w:p>
    <w:p w:rsidR="009D056F" w:rsidRDefault="009D056F" w:rsidP="00B76EA4">
      <w:pPr>
        <w:rPr>
          <w:rStyle w:val="Strong"/>
        </w:rPr>
      </w:pPr>
      <w:r w:rsidRPr="00E11DC8">
        <w:rPr>
          <w:rStyle w:val="Strong"/>
        </w:rPr>
        <w:t>Fax +961-1 981 252 / 981 253</w:t>
      </w:r>
    </w:p>
    <w:p w:rsidR="00972D34" w:rsidRDefault="00972D34" w:rsidP="00B76EA4"/>
    <w:p w:rsidR="00972D34" w:rsidRDefault="00972D34" w:rsidP="00B76EA4">
      <w:pPr>
        <w:sectPr w:rsidR="00972D34" w:rsidSect="003726E5">
          <w:headerReference w:type="default" r:id="rId12"/>
          <w:footerReference w:type="default" r:id="rId13"/>
          <w:headerReference w:type="first" r:id="rId14"/>
          <w:footerReference w:type="first" r:id="rId15"/>
          <w:pgSz w:w="11906" w:h="16838" w:code="9"/>
          <w:pgMar w:top="1440" w:right="1440" w:bottom="1440" w:left="1440" w:header="720" w:footer="720" w:gutter="0"/>
          <w:pgNumType w:start="1"/>
          <w:cols w:space="720"/>
          <w:titlePg/>
          <w:docGrid w:linePitch="360"/>
        </w:sectPr>
      </w:pPr>
    </w:p>
    <w:p w:rsidR="00972D34" w:rsidRPr="00CC4A75" w:rsidRDefault="002E6CB1" w:rsidP="00A77761">
      <w:pPr>
        <w:keepNext/>
        <w:jc w:val="center"/>
        <w:rPr>
          <w:b/>
          <w:bCs/>
        </w:rPr>
      </w:pPr>
      <w:r w:rsidRPr="00CC4A75">
        <w:rPr>
          <w:b/>
          <w:bCs/>
        </w:rPr>
        <w:t>Consultant Information Form</w:t>
      </w:r>
    </w:p>
    <w:p w:rsidR="004F4B61" w:rsidRDefault="00CF5E29" w:rsidP="00B76EA4">
      <w:r w:rsidRPr="004F4B61">
        <w:rPr>
          <w:noProof/>
          <w:lang w:val="en-US" w:eastAsia="en-US"/>
        </w:rPr>
        <w:drawing>
          <wp:inline distT="0" distB="0" distL="0" distR="0">
            <wp:extent cx="8862060" cy="54406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62060" cy="5440680"/>
                    </a:xfrm>
                    <a:prstGeom prst="rect">
                      <a:avLst/>
                    </a:prstGeom>
                    <a:noFill/>
                    <a:ln>
                      <a:noFill/>
                    </a:ln>
                  </pic:spPr>
                </pic:pic>
              </a:graphicData>
            </a:graphic>
          </wp:inline>
        </w:drawing>
      </w:r>
    </w:p>
    <w:sectPr w:rsidR="004F4B61" w:rsidSect="0076412B">
      <w:footerReference w:type="default" r:id="rId17"/>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BEB" w:rsidRDefault="007B3BEB" w:rsidP="009D056F">
      <w:r>
        <w:separator/>
      </w:r>
    </w:p>
  </w:endnote>
  <w:endnote w:type="continuationSeparator" w:id="0">
    <w:p w:rsidR="007B3BEB" w:rsidRDefault="007B3BEB" w:rsidP="009D0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82" w:rsidRDefault="00590145" w:rsidP="0076412B">
    <w:pPr>
      <w:pStyle w:val="Footer"/>
      <w:pBdr>
        <w:top w:val="single" w:sz="4" w:space="1" w:color="auto"/>
      </w:pBdr>
      <w:tabs>
        <w:tab w:val="clear" w:pos="4513"/>
        <w:tab w:val="clear" w:pos="9026"/>
        <w:tab w:val="right" w:pos="9000"/>
        <w:tab w:val="right" w:pos="13950"/>
      </w:tabs>
      <w:rPr>
        <w:b/>
        <w:bCs/>
        <w:sz w:val="16"/>
        <w:szCs w:val="16"/>
      </w:rPr>
    </w:pPr>
    <w:r w:rsidRPr="00590145">
      <w:rPr>
        <w:sz w:val="12"/>
        <w:szCs w:val="12"/>
      </w:rPr>
      <w:fldChar w:fldCharType="begin"/>
    </w:r>
    <w:r w:rsidRPr="00590145">
      <w:rPr>
        <w:sz w:val="12"/>
        <w:szCs w:val="12"/>
      </w:rPr>
      <w:instrText xml:space="preserve"> FILENAME   \* MERGEFORMAT </w:instrText>
    </w:r>
    <w:r w:rsidRPr="00590145">
      <w:rPr>
        <w:sz w:val="12"/>
        <w:szCs w:val="12"/>
      </w:rPr>
      <w:fldChar w:fldCharType="separate"/>
    </w:r>
    <w:r w:rsidRPr="00590145">
      <w:rPr>
        <w:noProof/>
        <w:sz w:val="12"/>
        <w:szCs w:val="12"/>
      </w:rPr>
      <w:t>Annonce - 830 - EOI Sprv Sewage Networks to Zahle WWTP and Sludge Dryer - QC1C1b - En</w:t>
    </w:r>
    <w:r w:rsidRPr="00590145">
      <w:rPr>
        <w:sz w:val="12"/>
        <w:szCs w:val="12"/>
      </w:rPr>
      <w:fldChar w:fldCharType="end"/>
    </w:r>
    <w:r w:rsidR="00CD6F82" w:rsidRPr="004304CB">
      <w:rPr>
        <w:b/>
        <w:bCs/>
        <w:sz w:val="16"/>
        <w:szCs w:val="16"/>
      </w:rPr>
      <w:tab/>
    </w:r>
    <w:r w:rsidR="00CD6F82" w:rsidRPr="004304CB">
      <w:rPr>
        <w:b/>
        <w:bCs/>
        <w:sz w:val="16"/>
        <w:szCs w:val="16"/>
      </w:rPr>
      <w:fldChar w:fldCharType="begin"/>
    </w:r>
    <w:r w:rsidR="00CD6F82" w:rsidRPr="004304CB">
      <w:rPr>
        <w:b/>
        <w:bCs/>
        <w:sz w:val="16"/>
        <w:szCs w:val="16"/>
      </w:rPr>
      <w:instrText xml:space="preserve"> PAGE </w:instrText>
    </w:r>
    <w:r w:rsidR="00CD6F82" w:rsidRPr="004304CB">
      <w:rPr>
        <w:b/>
        <w:bCs/>
        <w:sz w:val="16"/>
        <w:szCs w:val="16"/>
      </w:rPr>
      <w:fldChar w:fldCharType="separate"/>
    </w:r>
    <w:r w:rsidR="008745C4">
      <w:rPr>
        <w:b/>
        <w:bCs/>
        <w:noProof/>
        <w:sz w:val="16"/>
        <w:szCs w:val="16"/>
      </w:rPr>
      <w:t>4</w:t>
    </w:r>
    <w:r w:rsidR="00CD6F82" w:rsidRPr="004304CB">
      <w:rPr>
        <w:b/>
        <w:bCs/>
        <w:sz w:val="16"/>
        <w:szCs w:val="16"/>
      </w:rPr>
      <w:fldChar w:fldCharType="end"/>
    </w:r>
    <w:r w:rsidR="00CD6F82" w:rsidRPr="004304CB">
      <w:rPr>
        <w:b/>
        <w:bCs/>
        <w:sz w:val="16"/>
        <w:szCs w:val="16"/>
      </w:rPr>
      <w:t xml:space="preserve"> of </w:t>
    </w:r>
    <w:r w:rsidR="00CD6F82" w:rsidRPr="004304CB">
      <w:rPr>
        <w:b/>
        <w:bCs/>
        <w:sz w:val="16"/>
        <w:szCs w:val="16"/>
      </w:rPr>
      <w:fldChar w:fldCharType="begin"/>
    </w:r>
    <w:r w:rsidR="00CD6F82" w:rsidRPr="004304CB">
      <w:rPr>
        <w:b/>
        <w:bCs/>
        <w:sz w:val="16"/>
        <w:szCs w:val="16"/>
      </w:rPr>
      <w:instrText xml:space="preserve"> NUMPAGES  </w:instrText>
    </w:r>
    <w:r w:rsidR="00CD6F82" w:rsidRPr="004304CB">
      <w:rPr>
        <w:b/>
        <w:bCs/>
        <w:sz w:val="16"/>
        <w:szCs w:val="16"/>
      </w:rPr>
      <w:fldChar w:fldCharType="separate"/>
    </w:r>
    <w:r w:rsidR="008745C4">
      <w:rPr>
        <w:b/>
        <w:bCs/>
        <w:noProof/>
        <w:sz w:val="16"/>
        <w:szCs w:val="16"/>
      </w:rPr>
      <w:t>5</w:t>
    </w:r>
    <w:r w:rsidR="00CD6F82" w:rsidRPr="004304CB">
      <w:rPr>
        <w:b/>
        <w:bCs/>
        <w:sz w:val="16"/>
        <w:szCs w:val="16"/>
      </w:rPr>
      <w:fldChar w:fldCharType="end"/>
    </w:r>
  </w:p>
  <w:p w:rsidR="00590145" w:rsidRPr="00590145" w:rsidRDefault="00590145" w:rsidP="0076412B">
    <w:pPr>
      <w:pStyle w:val="Footer"/>
      <w:pBdr>
        <w:top w:val="single" w:sz="4" w:space="1" w:color="auto"/>
      </w:pBdr>
      <w:tabs>
        <w:tab w:val="clear" w:pos="4513"/>
        <w:tab w:val="clear" w:pos="9026"/>
        <w:tab w:val="right" w:pos="9000"/>
        <w:tab w:val="right" w:pos="13950"/>
      </w:tabs>
      <w:rPr>
        <w:sz w:val="16"/>
        <w:szCs w:val="16"/>
      </w:rPr>
    </w:pPr>
    <w:r w:rsidRPr="00590145">
      <w:rPr>
        <w:sz w:val="16"/>
        <w:szCs w:val="16"/>
      </w:rPr>
      <w:t>8/8/23</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145" w:rsidRPr="00590145" w:rsidRDefault="00590145" w:rsidP="00590145">
    <w:pPr>
      <w:pStyle w:val="Footer"/>
      <w:rPr>
        <w:sz w:val="12"/>
        <w:szCs w:val="12"/>
      </w:rPr>
    </w:pPr>
  </w:p>
  <w:p w:rsidR="00590145" w:rsidRPr="00590145" w:rsidRDefault="00590145" w:rsidP="00590145">
    <w:pPr>
      <w:rPr>
        <w:sz w:val="12"/>
        <w:szCs w:val="12"/>
      </w:rPr>
    </w:pPr>
  </w:p>
  <w:p w:rsidR="00590145" w:rsidRDefault="00590145" w:rsidP="00590145">
    <w:pPr>
      <w:pStyle w:val="Footer"/>
      <w:pBdr>
        <w:top w:val="single" w:sz="4" w:space="1" w:color="auto"/>
      </w:pBdr>
      <w:tabs>
        <w:tab w:val="clear" w:pos="4513"/>
        <w:tab w:val="clear" w:pos="9026"/>
        <w:tab w:val="right" w:pos="9000"/>
        <w:tab w:val="right" w:pos="13950"/>
      </w:tabs>
      <w:rPr>
        <w:b/>
        <w:bCs/>
        <w:sz w:val="16"/>
        <w:szCs w:val="16"/>
      </w:rPr>
    </w:pPr>
    <w:r w:rsidRPr="00590145">
      <w:rPr>
        <w:sz w:val="12"/>
        <w:szCs w:val="12"/>
      </w:rPr>
      <w:fldChar w:fldCharType="begin"/>
    </w:r>
    <w:r w:rsidRPr="00590145">
      <w:rPr>
        <w:sz w:val="12"/>
        <w:szCs w:val="12"/>
      </w:rPr>
      <w:instrText xml:space="preserve"> FILENAME   \* MERGEFORMAT </w:instrText>
    </w:r>
    <w:r w:rsidRPr="00590145">
      <w:rPr>
        <w:sz w:val="12"/>
        <w:szCs w:val="12"/>
      </w:rPr>
      <w:fldChar w:fldCharType="separate"/>
    </w:r>
    <w:r w:rsidRPr="00590145">
      <w:rPr>
        <w:noProof/>
        <w:sz w:val="12"/>
        <w:szCs w:val="12"/>
      </w:rPr>
      <w:t>Annonce - 830 - EOI Sprv Sewage Networks to Zahle WWTP and Sludge Dryer - QC1C1b - En</w:t>
    </w:r>
    <w:r w:rsidRPr="00590145">
      <w:rPr>
        <w:sz w:val="12"/>
        <w:szCs w:val="12"/>
      </w:rPr>
      <w:fldChar w:fldCharType="end"/>
    </w:r>
    <w:r w:rsidRPr="004304CB">
      <w:rPr>
        <w:b/>
        <w:bCs/>
        <w:sz w:val="16"/>
        <w:szCs w:val="16"/>
      </w:rPr>
      <w:tab/>
    </w:r>
    <w:r w:rsidRPr="004304CB">
      <w:rPr>
        <w:b/>
        <w:bCs/>
        <w:sz w:val="16"/>
        <w:szCs w:val="16"/>
      </w:rPr>
      <w:fldChar w:fldCharType="begin"/>
    </w:r>
    <w:r w:rsidRPr="004304CB">
      <w:rPr>
        <w:b/>
        <w:bCs/>
        <w:sz w:val="16"/>
        <w:szCs w:val="16"/>
      </w:rPr>
      <w:instrText xml:space="preserve"> PAGE </w:instrText>
    </w:r>
    <w:r w:rsidRPr="004304CB">
      <w:rPr>
        <w:b/>
        <w:bCs/>
        <w:sz w:val="16"/>
        <w:szCs w:val="16"/>
      </w:rPr>
      <w:fldChar w:fldCharType="separate"/>
    </w:r>
    <w:r w:rsidR="002A6A32">
      <w:rPr>
        <w:b/>
        <w:bCs/>
        <w:sz w:val="16"/>
        <w:szCs w:val="16"/>
      </w:rPr>
      <w:t>1</w:t>
    </w:r>
    <w:r w:rsidRPr="004304CB">
      <w:rPr>
        <w:b/>
        <w:bCs/>
        <w:sz w:val="16"/>
        <w:szCs w:val="16"/>
      </w:rPr>
      <w:fldChar w:fldCharType="end"/>
    </w:r>
    <w:r w:rsidRPr="004304CB">
      <w:rPr>
        <w:b/>
        <w:bCs/>
        <w:sz w:val="16"/>
        <w:szCs w:val="16"/>
      </w:rPr>
      <w:t xml:space="preserve"> of </w:t>
    </w:r>
    <w:r w:rsidRPr="004304CB">
      <w:rPr>
        <w:b/>
        <w:bCs/>
        <w:sz w:val="16"/>
        <w:szCs w:val="16"/>
      </w:rPr>
      <w:fldChar w:fldCharType="begin"/>
    </w:r>
    <w:r w:rsidRPr="004304CB">
      <w:rPr>
        <w:b/>
        <w:bCs/>
        <w:sz w:val="16"/>
        <w:szCs w:val="16"/>
      </w:rPr>
      <w:instrText xml:space="preserve"> NUMPAGES  </w:instrText>
    </w:r>
    <w:r w:rsidRPr="004304CB">
      <w:rPr>
        <w:b/>
        <w:bCs/>
        <w:sz w:val="16"/>
        <w:szCs w:val="16"/>
      </w:rPr>
      <w:fldChar w:fldCharType="separate"/>
    </w:r>
    <w:r w:rsidR="002A6A32">
      <w:rPr>
        <w:b/>
        <w:bCs/>
        <w:sz w:val="16"/>
        <w:szCs w:val="16"/>
      </w:rPr>
      <w:t>5</w:t>
    </w:r>
    <w:r w:rsidRPr="004304CB">
      <w:rPr>
        <w:b/>
        <w:bCs/>
        <w:sz w:val="16"/>
        <w:szCs w:val="16"/>
      </w:rPr>
      <w:fldChar w:fldCharType="end"/>
    </w:r>
  </w:p>
  <w:p w:rsidR="00590145" w:rsidRPr="00590145" w:rsidRDefault="00590145" w:rsidP="00590145">
    <w:pPr>
      <w:pStyle w:val="Footer"/>
      <w:pBdr>
        <w:top w:val="single" w:sz="4" w:space="1" w:color="auto"/>
      </w:pBdr>
      <w:tabs>
        <w:tab w:val="clear" w:pos="4513"/>
        <w:tab w:val="clear" w:pos="9026"/>
        <w:tab w:val="right" w:pos="9000"/>
        <w:tab w:val="right" w:pos="13950"/>
      </w:tabs>
      <w:rPr>
        <w:sz w:val="16"/>
        <w:szCs w:val="16"/>
      </w:rPr>
    </w:pPr>
    <w:r w:rsidRPr="00590145">
      <w:rPr>
        <w:sz w:val="16"/>
        <w:szCs w:val="16"/>
      </w:rPr>
      <w:t>8/8/23</w:t>
    </w:r>
  </w:p>
  <w:p w:rsidR="00590145" w:rsidRDefault="0059014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013" w:rsidRDefault="00925013" w:rsidP="00925013">
    <w:pPr>
      <w:pStyle w:val="Footer"/>
      <w:pBdr>
        <w:top w:val="single" w:sz="4" w:space="1" w:color="auto"/>
      </w:pBdr>
      <w:tabs>
        <w:tab w:val="clear" w:pos="4513"/>
        <w:tab w:val="clear" w:pos="9026"/>
        <w:tab w:val="right" w:pos="9000"/>
        <w:tab w:val="right" w:pos="13950"/>
      </w:tabs>
      <w:rPr>
        <w:b/>
        <w:bCs/>
        <w:sz w:val="16"/>
        <w:szCs w:val="16"/>
      </w:rPr>
    </w:pPr>
    <w:r w:rsidRPr="00590145">
      <w:rPr>
        <w:sz w:val="12"/>
        <w:szCs w:val="12"/>
      </w:rPr>
      <w:fldChar w:fldCharType="begin"/>
    </w:r>
    <w:r w:rsidRPr="00590145">
      <w:rPr>
        <w:sz w:val="12"/>
        <w:szCs w:val="12"/>
      </w:rPr>
      <w:instrText xml:space="preserve"> FILENAME   \* MERGEFORMAT </w:instrText>
    </w:r>
    <w:r w:rsidRPr="00590145">
      <w:rPr>
        <w:sz w:val="12"/>
        <w:szCs w:val="12"/>
      </w:rPr>
      <w:fldChar w:fldCharType="separate"/>
    </w:r>
    <w:r w:rsidRPr="00590145">
      <w:rPr>
        <w:noProof/>
        <w:sz w:val="12"/>
        <w:szCs w:val="12"/>
      </w:rPr>
      <w:t>Annonce - 830 - EOI Sprv Sewage Networks to Zahle WWTP and Sludge Dryer - QC1C1b - En</w:t>
    </w:r>
    <w:r w:rsidRPr="00590145">
      <w:rPr>
        <w:sz w:val="12"/>
        <w:szCs w:val="12"/>
      </w:rPr>
      <w:fldChar w:fldCharType="end"/>
    </w:r>
    <w:r w:rsidRPr="004304CB">
      <w:rPr>
        <w:b/>
        <w:bCs/>
        <w:sz w:val="16"/>
        <w:szCs w:val="16"/>
      </w:rPr>
      <w:tab/>
    </w:r>
    <w:r>
      <w:rPr>
        <w:b/>
        <w:bCs/>
        <w:sz w:val="16"/>
        <w:szCs w:val="16"/>
      </w:rPr>
      <w:tab/>
    </w:r>
    <w:r w:rsidRPr="004304CB">
      <w:rPr>
        <w:b/>
        <w:bCs/>
        <w:sz w:val="16"/>
        <w:szCs w:val="16"/>
      </w:rPr>
      <w:fldChar w:fldCharType="begin"/>
    </w:r>
    <w:r w:rsidRPr="004304CB">
      <w:rPr>
        <w:b/>
        <w:bCs/>
        <w:sz w:val="16"/>
        <w:szCs w:val="16"/>
      </w:rPr>
      <w:instrText xml:space="preserve"> PAGE </w:instrText>
    </w:r>
    <w:r w:rsidRPr="004304CB">
      <w:rPr>
        <w:b/>
        <w:bCs/>
        <w:sz w:val="16"/>
        <w:szCs w:val="16"/>
      </w:rPr>
      <w:fldChar w:fldCharType="separate"/>
    </w:r>
    <w:r w:rsidR="008745C4">
      <w:rPr>
        <w:b/>
        <w:bCs/>
        <w:noProof/>
        <w:sz w:val="16"/>
        <w:szCs w:val="16"/>
      </w:rPr>
      <w:t>5</w:t>
    </w:r>
    <w:r w:rsidRPr="004304CB">
      <w:rPr>
        <w:b/>
        <w:bCs/>
        <w:sz w:val="16"/>
        <w:szCs w:val="16"/>
      </w:rPr>
      <w:fldChar w:fldCharType="end"/>
    </w:r>
    <w:r w:rsidRPr="004304CB">
      <w:rPr>
        <w:b/>
        <w:bCs/>
        <w:sz w:val="16"/>
        <w:szCs w:val="16"/>
      </w:rPr>
      <w:t xml:space="preserve"> of </w:t>
    </w:r>
    <w:r w:rsidRPr="004304CB">
      <w:rPr>
        <w:b/>
        <w:bCs/>
        <w:sz w:val="16"/>
        <w:szCs w:val="16"/>
      </w:rPr>
      <w:fldChar w:fldCharType="begin"/>
    </w:r>
    <w:r w:rsidRPr="004304CB">
      <w:rPr>
        <w:b/>
        <w:bCs/>
        <w:sz w:val="16"/>
        <w:szCs w:val="16"/>
      </w:rPr>
      <w:instrText xml:space="preserve"> NUMPAGES  </w:instrText>
    </w:r>
    <w:r w:rsidRPr="004304CB">
      <w:rPr>
        <w:b/>
        <w:bCs/>
        <w:sz w:val="16"/>
        <w:szCs w:val="16"/>
      </w:rPr>
      <w:fldChar w:fldCharType="separate"/>
    </w:r>
    <w:r w:rsidR="008745C4">
      <w:rPr>
        <w:b/>
        <w:bCs/>
        <w:noProof/>
        <w:sz w:val="16"/>
        <w:szCs w:val="16"/>
      </w:rPr>
      <w:t>5</w:t>
    </w:r>
    <w:r w:rsidRPr="004304CB">
      <w:rPr>
        <w:b/>
        <w:bCs/>
        <w:sz w:val="16"/>
        <w:szCs w:val="16"/>
      </w:rPr>
      <w:fldChar w:fldCharType="end"/>
    </w:r>
  </w:p>
  <w:p w:rsidR="00925013" w:rsidRPr="00590145" w:rsidRDefault="00925013" w:rsidP="00925013">
    <w:pPr>
      <w:pStyle w:val="Footer"/>
      <w:pBdr>
        <w:top w:val="single" w:sz="4" w:space="1" w:color="auto"/>
      </w:pBdr>
      <w:tabs>
        <w:tab w:val="clear" w:pos="4513"/>
        <w:tab w:val="clear" w:pos="9026"/>
        <w:tab w:val="right" w:pos="9000"/>
        <w:tab w:val="right" w:pos="13950"/>
      </w:tabs>
      <w:rPr>
        <w:sz w:val="16"/>
        <w:szCs w:val="16"/>
      </w:rPr>
    </w:pPr>
    <w:r w:rsidRPr="00590145">
      <w:rPr>
        <w:sz w:val="16"/>
        <w:szCs w:val="16"/>
      </w:rPr>
      <w:t>8/8/23</w:t>
    </w:r>
  </w:p>
  <w:p w:rsidR="0076412B" w:rsidRPr="00925013" w:rsidRDefault="0076412B" w:rsidP="009250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BEB" w:rsidRDefault="007B3BEB" w:rsidP="009D056F">
      <w:r>
        <w:separator/>
      </w:r>
    </w:p>
  </w:footnote>
  <w:footnote w:type="continuationSeparator" w:id="0">
    <w:p w:rsidR="007B3BEB" w:rsidRDefault="007B3BEB" w:rsidP="009D05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6747" w:rsidRPr="00590145" w:rsidRDefault="003726E5" w:rsidP="003726E5">
    <w:pPr>
      <w:pStyle w:val="Header"/>
      <w:bidi/>
      <w:rPr>
        <w:sz w:val="12"/>
        <w:szCs w:val="12"/>
      </w:rPr>
    </w:pPr>
    <w:r>
      <w:rPr>
        <w:noProof/>
        <w:lang w:val="en-US" w:eastAsia="en-US"/>
      </w:rPr>
      <w:drawing>
        <wp:inline distT="0" distB="0" distL="0" distR="0">
          <wp:extent cx="2042160" cy="365760"/>
          <wp:effectExtent l="0" t="0" r="0" b="0"/>
          <wp:docPr id="3" name="Picture 3" descr="ENTETE ARABEsecon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ETE ARABEsecondp"/>
                  <pic:cNvPicPr>
                    <a:picLocks noChangeAspect="1" noChangeArrowheads="1"/>
                  </pic:cNvPicPr>
                </pic:nvPicPr>
                <pic:blipFill>
                  <a:blip r:embed="rId1">
                    <a:extLst>
                      <a:ext uri="{28A0092B-C50C-407E-A947-70E740481C1C}">
                        <a14:useLocalDpi xmlns:a14="http://schemas.microsoft.com/office/drawing/2010/main" val="0"/>
                      </a:ext>
                    </a:extLst>
                  </a:blip>
                  <a:srcRect t="-67014"/>
                  <a:stretch>
                    <a:fillRect/>
                  </a:stretch>
                </pic:blipFill>
                <pic:spPr bwMode="auto">
                  <a:xfrm>
                    <a:off x="0" y="0"/>
                    <a:ext cx="2042160" cy="3657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6E5" w:rsidRPr="003726E5" w:rsidRDefault="003726E5" w:rsidP="003726E5">
    <w:pPr>
      <w:pStyle w:val="Header"/>
      <w:bidi/>
      <w:jc w:val="center"/>
    </w:pPr>
    <w:r>
      <w:rPr>
        <w:noProof/>
        <w:lang w:val="en-US" w:eastAsia="en-US"/>
      </w:rPr>
      <w:drawing>
        <wp:inline distT="0" distB="0" distL="0" distR="0" wp14:anchorId="1FC59FCC" wp14:editId="7B902056">
          <wp:extent cx="3284220" cy="830580"/>
          <wp:effectExtent l="0" t="0" r="0" b="7620"/>
          <wp:docPr id="2" name="Picture 2" descr="ENTETE ARAB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TE ARABE1"/>
                  <pic:cNvPicPr>
                    <a:picLocks noChangeAspect="1" noChangeArrowheads="1"/>
                  </pic:cNvPicPr>
                </pic:nvPicPr>
                <pic:blipFill>
                  <a:blip r:embed="rId1">
                    <a:extLst>
                      <a:ext uri="{28A0092B-C50C-407E-A947-70E740481C1C}">
                        <a14:useLocalDpi xmlns:a14="http://schemas.microsoft.com/office/drawing/2010/main" val="0"/>
                      </a:ext>
                    </a:extLst>
                  </a:blip>
                  <a:srcRect t="-21091"/>
                  <a:stretch>
                    <a:fillRect/>
                  </a:stretch>
                </pic:blipFill>
                <pic:spPr bwMode="auto">
                  <a:xfrm>
                    <a:off x="0" y="0"/>
                    <a:ext cx="3284220" cy="830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7032A7"/>
    <w:multiLevelType w:val="multilevel"/>
    <w:tmpl w:val="E48C4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11"/>
    <w:rsid w:val="00023613"/>
    <w:rsid w:val="00031DFF"/>
    <w:rsid w:val="00032C5B"/>
    <w:rsid w:val="00055D57"/>
    <w:rsid w:val="00070D9D"/>
    <w:rsid w:val="001021FF"/>
    <w:rsid w:val="00151A93"/>
    <w:rsid w:val="00175564"/>
    <w:rsid w:val="00196747"/>
    <w:rsid w:val="001A6422"/>
    <w:rsid w:val="001B1B42"/>
    <w:rsid w:val="00202983"/>
    <w:rsid w:val="00251D61"/>
    <w:rsid w:val="002A6A32"/>
    <w:rsid w:val="002E6CB1"/>
    <w:rsid w:val="00341ECF"/>
    <w:rsid w:val="003726E5"/>
    <w:rsid w:val="003B72A4"/>
    <w:rsid w:val="0042169B"/>
    <w:rsid w:val="00430C2B"/>
    <w:rsid w:val="0048174D"/>
    <w:rsid w:val="004A49CE"/>
    <w:rsid w:val="004B7B9A"/>
    <w:rsid w:val="004D65C4"/>
    <w:rsid w:val="004D67A7"/>
    <w:rsid w:val="004F3203"/>
    <w:rsid w:val="004F4B61"/>
    <w:rsid w:val="005562AB"/>
    <w:rsid w:val="00562105"/>
    <w:rsid w:val="005756DA"/>
    <w:rsid w:val="00590145"/>
    <w:rsid w:val="00627A46"/>
    <w:rsid w:val="00656334"/>
    <w:rsid w:val="00665954"/>
    <w:rsid w:val="006A6185"/>
    <w:rsid w:val="006C3A63"/>
    <w:rsid w:val="00732886"/>
    <w:rsid w:val="00745F83"/>
    <w:rsid w:val="0076412B"/>
    <w:rsid w:val="00796D96"/>
    <w:rsid w:val="007B0CD6"/>
    <w:rsid w:val="007B3BEB"/>
    <w:rsid w:val="007D5830"/>
    <w:rsid w:val="007E3B4B"/>
    <w:rsid w:val="008745C4"/>
    <w:rsid w:val="008A6362"/>
    <w:rsid w:val="00925013"/>
    <w:rsid w:val="00934365"/>
    <w:rsid w:val="00972D34"/>
    <w:rsid w:val="00984C2C"/>
    <w:rsid w:val="009C1964"/>
    <w:rsid w:val="009C4A85"/>
    <w:rsid w:val="009D056F"/>
    <w:rsid w:val="00A22443"/>
    <w:rsid w:val="00A37011"/>
    <w:rsid w:val="00A77761"/>
    <w:rsid w:val="00A93D58"/>
    <w:rsid w:val="00AD2ACE"/>
    <w:rsid w:val="00B25259"/>
    <w:rsid w:val="00B5426E"/>
    <w:rsid w:val="00B75798"/>
    <w:rsid w:val="00B76EA4"/>
    <w:rsid w:val="00B81E24"/>
    <w:rsid w:val="00BB5FEF"/>
    <w:rsid w:val="00BC5F78"/>
    <w:rsid w:val="00BD18ED"/>
    <w:rsid w:val="00C30D71"/>
    <w:rsid w:val="00C33B3D"/>
    <w:rsid w:val="00C42597"/>
    <w:rsid w:val="00CA7FD7"/>
    <w:rsid w:val="00CC4A75"/>
    <w:rsid w:val="00CD1A57"/>
    <w:rsid w:val="00CD6F82"/>
    <w:rsid w:val="00CF5E29"/>
    <w:rsid w:val="00D9405F"/>
    <w:rsid w:val="00DB282F"/>
    <w:rsid w:val="00DC4558"/>
    <w:rsid w:val="00DC4AD9"/>
    <w:rsid w:val="00E11DC8"/>
    <w:rsid w:val="00E30A29"/>
    <w:rsid w:val="00E4653F"/>
    <w:rsid w:val="00E47111"/>
    <w:rsid w:val="00E71B84"/>
    <w:rsid w:val="00EB06C2"/>
    <w:rsid w:val="00EC35FF"/>
    <w:rsid w:val="00EF6545"/>
    <w:rsid w:val="00F1476E"/>
    <w:rsid w:val="00F25828"/>
    <w:rsid w:val="00F32229"/>
    <w:rsid w:val="00F36AF1"/>
    <w:rsid w:val="00F4201E"/>
    <w:rsid w:val="00F820AA"/>
    <w:rsid w:val="00F95B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EBCCBD1"/>
  <w15:chartTrackingRefBased/>
  <w15:docId w15:val="{422EB244-FCC7-4B6E-B960-CBFF4A6D2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character" w:styleId="Emphasis">
    <w:name w:val="Emphasis"/>
    <w:uiPriority w:val="20"/>
    <w:qFormat/>
    <w:rPr>
      <w:i/>
      <w:iCs/>
    </w:rPr>
  </w:style>
  <w:style w:type="paragraph" w:styleId="Header">
    <w:name w:val="header"/>
    <w:basedOn w:val="Normal"/>
    <w:link w:val="HeaderChar"/>
    <w:uiPriority w:val="99"/>
    <w:unhideWhenUsed/>
    <w:rsid w:val="009D056F"/>
    <w:pPr>
      <w:tabs>
        <w:tab w:val="center" w:pos="4513"/>
        <w:tab w:val="right" w:pos="9026"/>
      </w:tabs>
    </w:pPr>
  </w:style>
  <w:style w:type="character" w:customStyle="1" w:styleId="HeaderChar">
    <w:name w:val="Header Char"/>
    <w:link w:val="Header"/>
    <w:uiPriority w:val="99"/>
    <w:rsid w:val="009D056F"/>
    <w:rPr>
      <w:sz w:val="24"/>
      <w:szCs w:val="24"/>
    </w:rPr>
  </w:style>
  <w:style w:type="paragraph" w:styleId="Footer">
    <w:name w:val="footer"/>
    <w:basedOn w:val="Normal"/>
    <w:link w:val="FooterChar"/>
    <w:uiPriority w:val="99"/>
    <w:unhideWhenUsed/>
    <w:rsid w:val="009D056F"/>
    <w:pPr>
      <w:tabs>
        <w:tab w:val="center" w:pos="4513"/>
        <w:tab w:val="right" w:pos="9026"/>
      </w:tabs>
    </w:pPr>
  </w:style>
  <w:style w:type="character" w:customStyle="1" w:styleId="FooterChar">
    <w:name w:val="Footer Char"/>
    <w:link w:val="Footer"/>
    <w:uiPriority w:val="99"/>
    <w:rsid w:val="009D056F"/>
    <w:rPr>
      <w:sz w:val="24"/>
      <w:szCs w:val="24"/>
    </w:rPr>
  </w:style>
  <w:style w:type="character" w:styleId="CommentReference">
    <w:name w:val="annotation reference"/>
    <w:uiPriority w:val="99"/>
    <w:semiHidden/>
    <w:unhideWhenUsed/>
    <w:rsid w:val="00DC4558"/>
    <w:rPr>
      <w:sz w:val="16"/>
      <w:szCs w:val="16"/>
    </w:rPr>
  </w:style>
  <w:style w:type="paragraph" w:styleId="CommentText">
    <w:name w:val="annotation text"/>
    <w:basedOn w:val="Normal"/>
    <w:link w:val="CommentTextChar"/>
    <w:uiPriority w:val="99"/>
    <w:semiHidden/>
    <w:unhideWhenUsed/>
    <w:rsid w:val="00DC4558"/>
    <w:rPr>
      <w:sz w:val="20"/>
      <w:szCs w:val="20"/>
    </w:rPr>
  </w:style>
  <w:style w:type="character" w:customStyle="1" w:styleId="CommentTextChar">
    <w:name w:val="Comment Text Char"/>
    <w:link w:val="CommentText"/>
    <w:uiPriority w:val="99"/>
    <w:semiHidden/>
    <w:rsid w:val="00DC4558"/>
    <w:rPr>
      <w:lang w:val="en-GB" w:eastAsia="en-GB"/>
    </w:rPr>
  </w:style>
  <w:style w:type="paragraph" w:styleId="CommentSubject">
    <w:name w:val="annotation subject"/>
    <w:basedOn w:val="CommentText"/>
    <w:next w:val="CommentText"/>
    <w:link w:val="CommentSubjectChar"/>
    <w:uiPriority w:val="99"/>
    <w:semiHidden/>
    <w:unhideWhenUsed/>
    <w:rsid w:val="00DC4558"/>
    <w:rPr>
      <w:b/>
      <w:bCs/>
    </w:rPr>
  </w:style>
  <w:style w:type="character" w:customStyle="1" w:styleId="CommentSubjectChar">
    <w:name w:val="Comment Subject Char"/>
    <w:link w:val="CommentSubject"/>
    <w:uiPriority w:val="99"/>
    <w:semiHidden/>
    <w:rsid w:val="00DC4558"/>
    <w:rPr>
      <w:b/>
      <w:bCs/>
      <w:lang w:val="en-GB" w:eastAsia="en-GB"/>
    </w:rPr>
  </w:style>
  <w:style w:type="paragraph" w:styleId="BalloonText">
    <w:name w:val="Balloon Text"/>
    <w:basedOn w:val="Normal"/>
    <w:link w:val="BalloonTextChar"/>
    <w:uiPriority w:val="99"/>
    <w:semiHidden/>
    <w:unhideWhenUsed/>
    <w:rsid w:val="00DC4558"/>
    <w:rPr>
      <w:rFonts w:ascii="Segoe UI" w:hAnsi="Segoe UI" w:cs="Segoe UI"/>
      <w:sz w:val="18"/>
      <w:szCs w:val="18"/>
    </w:rPr>
  </w:style>
  <w:style w:type="character" w:customStyle="1" w:styleId="BalloonTextChar">
    <w:name w:val="Balloon Text Char"/>
    <w:link w:val="BalloonText"/>
    <w:uiPriority w:val="99"/>
    <w:semiHidden/>
    <w:rsid w:val="00DC4558"/>
    <w:rPr>
      <w:rFonts w:ascii="Segoe UI" w:hAnsi="Segoe UI" w:cs="Segoe UI"/>
      <w:sz w:val="18"/>
      <w:szCs w:val="18"/>
      <w:lang w:val="en-GB" w:eastAsia="en-GB"/>
    </w:rPr>
  </w:style>
  <w:style w:type="table" w:styleId="TableGrid">
    <w:name w:val="Table Grid"/>
    <w:basedOn w:val="TableNormal"/>
    <w:rsid w:val="0048174D"/>
    <w:rPr>
      <w:rFonts w:ascii="Calibri" w:hAnsi="Calibri"/>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semiHidden/>
    <w:unhideWhenUsed/>
    <w:rsid w:val="009343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073706">
      <w:marLeft w:val="0"/>
      <w:marRight w:val="0"/>
      <w:marTop w:val="0"/>
      <w:marBottom w:val="0"/>
      <w:divBdr>
        <w:top w:val="none" w:sz="0" w:space="0" w:color="auto"/>
        <w:left w:val="none" w:sz="0" w:space="0" w:color="auto"/>
        <w:bottom w:val="none" w:sz="0" w:space="0" w:color="auto"/>
        <w:right w:val="none" w:sz="0" w:space="0" w:color="auto"/>
      </w:divBdr>
    </w:div>
    <w:div w:id="1508789218">
      <w:marLeft w:val="0"/>
      <w:marRight w:val="0"/>
      <w:marTop w:val="0"/>
      <w:marBottom w:val="0"/>
      <w:divBdr>
        <w:top w:val="none" w:sz="0" w:space="0" w:color="auto"/>
        <w:left w:val="none" w:sz="0" w:space="0" w:color="auto"/>
        <w:bottom w:val="none" w:sz="0" w:space="0" w:color="auto"/>
        <w:right w:val="none" w:sz="0" w:space="0" w:color="auto"/>
      </w:divBdr>
    </w:div>
    <w:div w:id="171291887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hinwah@cdr.gov.lb"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87EA3DE823DC489E44BF4CD2C2AF9F" ma:contentTypeVersion="13" ma:contentTypeDescription="Create a new document." ma:contentTypeScope="" ma:versionID="d77fa22d03b97c71c88eac40b867ffaa">
  <xsd:schema xmlns:xsd="http://www.w3.org/2001/XMLSchema" xmlns:xs="http://www.w3.org/2001/XMLSchema" xmlns:p="http://schemas.microsoft.com/office/2006/metadata/properties" xmlns:ns3="543abfbf-1b39-4535-8b1b-c72a4cdaa484" xmlns:ns4="2834bc84-a818-4cb9-8b4d-5179cfe104eb" targetNamespace="http://schemas.microsoft.com/office/2006/metadata/properties" ma:root="true" ma:fieldsID="3b454a0142ae8f9d47726e40ef33e5bd" ns3:_="" ns4:_="">
    <xsd:import namespace="543abfbf-1b39-4535-8b1b-c72a4cdaa484"/>
    <xsd:import namespace="2834bc84-a818-4cb9-8b4d-5179cfe104e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abfbf-1b39-4535-8b1b-c72a4cdaa4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34bc84-a818-4cb9-8b4d-5179cfe104e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F7988-C3CB-41A6-9660-0F4C7FAFA36E}">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2834bc84-a818-4cb9-8b4d-5179cfe104eb"/>
    <ds:schemaRef ds:uri="http://schemas.microsoft.com/office/infopath/2007/PartnerControls"/>
    <ds:schemaRef ds:uri="543abfbf-1b39-4535-8b1b-c72a4cdaa484"/>
    <ds:schemaRef ds:uri="http://www.w3.org/XML/1998/namespace"/>
  </ds:schemaRefs>
</ds:datastoreItem>
</file>

<file path=customXml/itemProps2.xml><?xml version="1.0" encoding="utf-8"?>
<ds:datastoreItem xmlns:ds="http://schemas.openxmlformats.org/officeDocument/2006/customXml" ds:itemID="{DD8FDBE0-8584-4A7F-BD39-7210AC033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abfbf-1b39-4535-8b1b-c72a4cdaa484"/>
    <ds:schemaRef ds:uri="2834bc84-a818-4cb9-8b4d-5179cfe10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7213D6-D96D-45AF-812B-36A2E66B9211}">
  <ds:schemaRefs>
    <ds:schemaRef ds:uri="http://schemas.microsoft.com/sharepoint/v3/contenttype/forms"/>
  </ds:schemaRefs>
</ds:datastoreItem>
</file>

<file path=customXml/itemProps4.xml><?xml version="1.0" encoding="utf-8"?>
<ds:datastoreItem xmlns:ds="http://schemas.openxmlformats.org/officeDocument/2006/customXml" ds:itemID="{D88DFFF0-9BF4-4D2F-B8CB-8B9FF9F8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1282</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Links>
    <vt:vector size="6" baseType="variant">
      <vt:variant>
        <vt:i4>2031718</vt:i4>
      </vt:variant>
      <vt:variant>
        <vt:i4>0</vt:i4>
      </vt:variant>
      <vt:variant>
        <vt:i4>0</vt:i4>
      </vt:variant>
      <vt:variant>
        <vt:i4>5</vt:i4>
      </vt:variant>
      <vt:variant>
        <vt:lpwstr>mailto:ghinwah@cdr.gov.lb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Ghinwa Haddad</cp:lastModifiedBy>
  <cp:revision>9</cp:revision>
  <cp:lastPrinted>2019-11-25T09:30:00Z</cp:lastPrinted>
  <dcterms:created xsi:type="dcterms:W3CDTF">2023-08-08T10:18:00Z</dcterms:created>
  <dcterms:modified xsi:type="dcterms:W3CDTF">2023-08-08T10:36:00Z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0x0101007787EA3DE823DC489E44BF4CD2C2AF9F</vt:lpwstr>
  </property>
</Properties>
</file>