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AF5917" w:rsidRDefault="00EB30B4" w:rsidP="00EB30B4">
      <w:pPr>
        <w:spacing w:line="240" w:lineRule="auto"/>
        <w:ind w:left="1" w:hanging="3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AF5917">
        <w:rPr>
          <w:rFonts w:asciiTheme="majorBidi" w:hAnsiTheme="majorBidi" w:cstheme="majorBidi"/>
          <w:b/>
          <w:bCs/>
          <w:sz w:val="22"/>
          <w:szCs w:val="22"/>
          <w:rtl/>
        </w:rPr>
        <w:t>إعلان عن عملية شراء بطريقة</w:t>
      </w:r>
      <w:r w:rsidR="00CA7C6C" w:rsidRPr="00AF5917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="002D7A72" w:rsidRPr="00AF5917">
        <w:rPr>
          <w:rFonts w:asciiTheme="majorBidi" w:hAnsiTheme="majorBidi" w:cstheme="majorBidi"/>
          <w:b/>
          <w:bCs/>
          <w:sz w:val="22"/>
          <w:szCs w:val="22"/>
          <w:rtl/>
        </w:rPr>
        <w:t>طلب عروض الأسعار</w:t>
      </w:r>
    </w:p>
    <w:p w14:paraId="766D9895" w14:textId="77777777" w:rsidR="00B235FD" w:rsidRPr="00AF5917" w:rsidRDefault="00CA7C6C" w:rsidP="00297452">
      <w:pPr>
        <w:spacing w:line="240" w:lineRule="auto"/>
        <w:ind w:hanging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AF5917">
        <w:rPr>
          <w:rFonts w:asciiTheme="majorBidi" w:hAnsiTheme="majorBidi" w:cstheme="majorBidi"/>
          <w:b/>
          <w:sz w:val="22"/>
          <w:szCs w:val="22"/>
          <w:rtl/>
        </w:rPr>
        <w:t>عملًا بالمذكرة رقم 4/</w:t>
      </w:r>
      <w:r w:rsidRPr="00AF5917">
        <w:rPr>
          <w:rFonts w:asciiTheme="majorBidi" w:eastAsia="Sakkal Majalla" w:hAnsiTheme="majorBidi" w:cstheme="majorBidi"/>
          <w:b/>
          <w:sz w:val="22"/>
          <w:szCs w:val="22"/>
          <w:rtl/>
        </w:rPr>
        <w:t>ه</w:t>
      </w:r>
      <w:r w:rsidRPr="00AF5917">
        <w:rPr>
          <w:rFonts w:asciiTheme="majorBidi" w:hAnsiTheme="majorBidi" w:cstheme="majorBidi"/>
          <w:b/>
          <w:sz w:val="22"/>
          <w:szCs w:val="22"/>
          <w:rtl/>
        </w:rPr>
        <w:t>.ش.ع/2022</w:t>
      </w:r>
    </w:p>
    <w:p w14:paraId="65838BA8" w14:textId="77777777" w:rsidR="00B235FD" w:rsidRPr="00AF5917" w:rsidRDefault="00CA7C6C" w:rsidP="009D4EF8">
      <w:pPr>
        <w:spacing w:after="240" w:line="240" w:lineRule="auto"/>
        <w:ind w:hanging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AF5917">
        <w:rPr>
          <w:rFonts w:asciiTheme="majorBidi" w:hAnsiTheme="majorBidi" w:cstheme="majorBidi"/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F5917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AF5917" w:rsidRDefault="00CA7C6C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u w:val="single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Pr="00AF5917" w:rsidRDefault="00EB6B1F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MIC2</w:t>
            </w:r>
          </w:p>
        </w:tc>
      </w:tr>
      <w:tr w:rsidR="00B235FD" w:rsidRPr="00AF5917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AF5917" w:rsidRDefault="00CA7C6C" w:rsidP="007F36D7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6E0C77A7" w14:textId="77777777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7EC9794F" w14:textId="55BA22AF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6F1518A5" w14:textId="123FDA97" w:rsidR="00B235FD" w:rsidRPr="00AF5917" w:rsidRDefault="00EB6B1F" w:rsidP="00EB6B1F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</w:tbl>
    <w:p w14:paraId="42EFEFAB" w14:textId="77777777" w:rsidR="00B235FD" w:rsidRPr="00AF5917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F5917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AF5917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معلومات عن الصفقة</w:t>
            </w:r>
          </w:p>
        </w:tc>
      </w:tr>
      <w:tr w:rsidR="00B235FD" w:rsidRPr="00AF5917" w14:paraId="1AA3F9A2" w14:textId="77777777" w:rsidTr="003F0B8F">
        <w:trPr>
          <w:trHeight w:val="332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AF5917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26EBA51A" w:rsidR="00B235FD" w:rsidRPr="00AF5917" w:rsidRDefault="00E30097" w:rsidP="00E32BA0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Tech Procurement /</w:t>
            </w:r>
            <w:r w:rsidR="00E32BA0">
              <w:rPr>
                <w:b/>
                <w:bCs/>
                <w:color w:val="000000"/>
                <w:sz w:val="24"/>
                <w:szCs w:val="24"/>
              </w:rPr>
              <w:t>MS1824</w:t>
            </w:r>
          </w:p>
        </w:tc>
      </w:tr>
      <w:tr w:rsidR="00B235FD" w:rsidRPr="00AF5917" w14:paraId="19C0E970" w14:textId="77777777" w:rsidTr="003F0B8F">
        <w:trPr>
          <w:trHeight w:val="278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AF5917" w:rsidRDefault="00CA7C6C" w:rsidP="007F36D7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7B61AFFE" w:rsidR="00B235FD" w:rsidRPr="00AF5917" w:rsidRDefault="00E32BA0" w:rsidP="00CE6741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E32BA0">
              <w:rPr>
                <w:rFonts w:asciiTheme="majorBidi" w:hAnsiTheme="majorBidi" w:cstheme="majorBidi"/>
                <w:sz w:val="22"/>
                <w:szCs w:val="22"/>
              </w:rPr>
              <w:t>Microsoft Support RFQ 2024</w:t>
            </w:r>
          </w:p>
        </w:tc>
      </w:tr>
      <w:tr w:rsidR="00B235FD" w:rsidRPr="00AF5917" w14:paraId="2306D1CA" w14:textId="77777777" w:rsidTr="000E640A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AF5917" w:rsidRDefault="00CA7C6C" w:rsidP="008D3049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6DF5745B" w:rsidR="00F43755" w:rsidRPr="0043591D" w:rsidRDefault="006C668C" w:rsidP="00A073DF">
            <w:pPr>
              <w:bidi w:val="0"/>
              <w:jc w:val="both"/>
            </w:pPr>
            <w:r w:rsidRPr="0043591D">
              <w:t>The supplier</w:t>
            </w:r>
            <w:r w:rsidR="007823AC" w:rsidRPr="0043591D">
              <w:t xml:space="preserve"> will work closely with MIC2 internal IT team to provide proactive and reactive support, including maintenance, monitoring, troubleshooting, and user </w:t>
            </w:r>
            <w:r w:rsidR="00B244EE" w:rsidRPr="0043591D">
              <w:t xml:space="preserve">assistance. </w:t>
            </w:r>
            <w:r w:rsidR="00E5042A" w:rsidRPr="0043591D">
              <w:t>In addition, the supplier should be</w:t>
            </w:r>
            <w:r w:rsidR="007823AC" w:rsidRPr="0043591D">
              <w:t xml:space="preserve"> </w:t>
            </w:r>
            <w:r w:rsidR="006D5520" w:rsidRPr="0043591D">
              <w:t xml:space="preserve">capable of ensuring the stability, security, and optimal performance of </w:t>
            </w:r>
            <w:r w:rsidR="002535B0" w:rsidRPr="0043591D">
              <w:t>Touch</w:t>
            </w:r>
            <w:r w:rsidR="006D5520" w:rsidRPr="0043591D">
              <w:t xml:space="preserve"> Microsoft infrastructure</w:t>
            </w:r>
            <w:r w:rsidR="002535B0" w:rsidRPr="0043591D">
              <w:t>.</w:t>
            </w:r>
          </w:p>
        </w:tc>
      </w:tr>
      <w:tr w:rsidR="00B235FD" w:rsidRPr="00AF5917" w14:paraId="5AF41A2B" w14:textId="77777777" w:rsidTr="007B65C4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0991779E" w:rsidR="00B235FD" w:rsidRPr="00AF5917" w:rsidRDefault="00CA7C6C" w:rsidP="00A904EA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لوازم</w:t>
            </w:r>
            <w:r w:rsidR="00B32528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B234B0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  <w:lang w:bidi="ar-LB"/>
              </w:rPr>
              <w:t>,خدمات</w:t>
            </w:r>
          </w:p>
        </w:tc>
      </w:tr>
      <w:tr w:rsidR="00B235FD" w:rsidRPr="00AF5917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AF5917" w:rsidRDefault="00CA7C6C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طريقة </w:t>
            </w:r>
            <w:r w:rsidR="00051B2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Pr="00AF5917" w:rsidRDefault="002D7A72" w:rsidP="0024709A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طلب عروض الأسعار</w:t>
            </w:r>
            <w:r w:rsidR="0029172A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D4072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على أساس</w:t>
            </w:r>
            <w:r w:rsidR="002E463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تقديم أسعار </w:t>
            </w:r>
          </w:p>
        </w:tc>
      </w:tr>
      <w:tr w:rsidR="009A3962" w:rsidRPr="00AF5917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AF5917" w:rsidRDefault="009A3962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B35CDDA" w:rsidR="009A3962" w:rsidRPr="00AF5917" w:rsidRDefault="009A3962" w:rsidP="00DE198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السعر الأدنى </w:t>
            </w:r>
            <w:bookmarkStart w:id="0" w:name="_GoBack"/>
            <w:bookmarkEnd w:id="0"/>
          </w:p>
        </w:tc>
      </w:tr>
      <w:tr w:rsidR="00A049F7" w:rsidRPr="00AF591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AF5917" w:rsidRDefault="00A049F7" w:rsidP="00072D48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60A18CA" w:rsidR="00A049F7" w:rsidRPr="00AF5917" w:rsidRDefault="00607ED7" w:rsidP="00072D48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235FD" w:rsidRPr="00AF5917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B235FD" w:rsidRPr="00AF5917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AF5917" w:rsidRDefault="00297452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8F22F22" w:rsidR="00B235FD" w:rsidRPr="00AF5917" w:rsidRDefault="004B0E5E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English</w:t>
            </w:r>
          </w:p>
        </w:tc>
      </w:tr>
      <w:tr w:rsidR="00B235FD" w:rsidRPr="00AF5917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</w:tbl>
    <w:p w14:paraId="2E3499B5" w14:textId="77777777" w:rsidR="00B235FD" w:rsidRPr="00AF5917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AF5917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Pr="00AF5917" w:rsidRDefault="00801F32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تواريخ/ مهل/ أماكن</w:t>
            </w:r>
          </w:p>
        </w:tc>
      </w:tr>
      <w:tr w:rsidR="009552E8" w:rsidRPr="00AF5917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Pr="00AF5917" w:rsidRDefault="009552E8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موعد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 جلسة التلزيم</w:t>
            </w: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(</w:t>
            </w: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فتح العروض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0FC5F227" w:rsidR="00A172A5" w:rsidRPr="00AF5917" w:rsidRDefault="00E5042A" w:rsidP="00E5042A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Monday 12</w:t>
            </w:r>
            <w:r w:rsidR="00B234B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August</w:t>
            </w:r>
            <w:r w:rsidR="0044602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="007D4026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2024 </w:t>
            </w:r>
            <w:r w:rsidR="00B234B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at</w:t>
            </w:r>
            <w:r w:rsidR="0011713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1</w:t>
            </w:r>
            <w:r w:rsidR="005D146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1:00 A</w:t>
            </w:r>
            <w:r w:rsidR="007D4026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</w:t>
            </w:r>
          </w:p>
        </w:tc>
      </w:tr>
      <w:tr w:rsidR="0044602D" w:rsidRPr="00AF5917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الموعد النهائي لتقديم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3690B3E1" w:rsidR="0044602D" w:rsidRPr="00AF5917" w:rsidRDefault="00E5042A" w:rsidP="008F58E9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Monday 12  August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2024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at 11:00 A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</w:t>
            </w:r>
          </w:p>
        </w:tc>
      </w:tr>
      <w:tr w:rsidR="0044602D" w:rsidRPr="00AF5917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44602D" w:rsidRPr="00AF5917" w:rsidRDefault="0044602D" w:rsidP="0044602D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لم يتم تخفيض مدة الإعلان.</w:t>
            </w:r>
          </w:p>
        </w:tc>
      </w:tr>
      <w:tr w:rsidR="0044602D" w:rsidRPr="00AF5917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7CBC9B27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6A99165C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5E2FF751" w14:textId="0DFBB68B" w:rsidR="0044602D" w:rsidRPr="00AF5917" w:rsidRDefault="0044602D" w:rsidP="0044602D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tr w:rsidR="0044602D" w:rsidRPr="00AF5917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44602D" w:rsidRPr="00AF5917" w:rsidRDefault="0044602D" w:rsidP="0044602D">
            <w:pPr>
              <w:pStyle w:val="NoSpacing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تقدم العروض الخطية في غلاف مختوم في مقر الجهة الشارية </w:t>
            </w:r>
          </w:p>
          <w:p w14:paraId="566B173C" w14:textId="62352458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656732D2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43159887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06825386" w14:textId="2E893EA6" w:rsidR="0044602D" w:rsidRPr="00AF5917" w:rsidRDefault="0044602D" w:rsidP="0044602D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tr w:rsidR="0044602D" w:rsidRPr="00AF5917" w14:paraId="148E8152" w14:textId="77777777" w:rsidTr="003F0B8F">
        <w:trPr>
          <w:trHeight w:val="1007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44602D" w:rsidRPr="00AF5917" w:rsidRDefault="0044602D" w:rsidP="0044602D">
            <w:pPr>
              <w:pStyle w:val="NoSpacing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مكان تقييم العروض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الجهة الشارية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</w:p>
          <w:p w14:paraId="0EE2411F" w14:textId="241BEDEF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18E90C85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3F91FE04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6A0D1FEC" w14:textId="5ECAC607" w:rsidR="0044602D" w:rsidRPr="00AF5917" w:rsidRDefault="0044602D" w:rsidP="0044602D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</w:tbl>
    <w:p w14:paraId="50BAA796" w14:textId="23BBFD63" w:rsidR="00206B49" w:rsidRPr="00AF5917" w:rsidRDefault="00206B49">
      <w:pPr>
        <w:rPr>
          <w:rFonts w:asciiTheme="majorBidi" w:hAnsiTheme="majorBidi" w:cstheme="majorBidi"/>
          <w:sz w:val="22"/>
          <w:szCs w:val="22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AF5917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ضمان العرض</w:t>
            </w:r>
          </w:p>
        </w:tc>
      </w:tr>
      <w:tr w:rsidR="00206B49" w:rsidRPr="00AF5917" w14:paraId="25E7ED41" w14:textId="77777777" w:rsidTr="00EC51FE">
        <w:trPr>
          <w:trHeight w:val="305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10F6DB38" w:rsidR="00206B49" w:rsidRPr="00AF5917" w:rsidRDefault="005D146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حدد و بمبلغ و قدره </w:t>
            </w:r>
            <w:r>
              <w:rPr>
                <w:color w:val="000000"/>
                <w:sz w:val="24"/>
                <w:szCs w:val="24"/>
              </w:rPr>
              <w:t>$300</w:t>
            </w:r>
          </w:p>
        </w:tc>
      </w:tr>
      <w:tr w:rsidR="00206B49" w:rsidRPr="00AF5917" w14:paraId="303090E8" w14:textId="77777777" w:rsidTr="00EC51FE">
        <w:trPr>
          <w:trHeight w:val="305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6C3505AA" w:rsidR="00206B49" w:rsidRPr="00AF5917" w:rsidRDefault="005D146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أشهر</w:t>
            </w:r>
          </w:p>
        </w:tc>
      </w:tr>
    </w:tbl>
    <w:p w14:paraId="68FB0B75" w14:textId="77777777" w:rsidR="00206B49" w:rsidRPr="00AF5917" w:rsidRDefault="00206B49" w:rsidP="003E594F">
      <w:pPr>
        <w:spacing w:line="240" w:lineRule="auto"/>
        <w:ind w:firstLine="0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RPr="00AF5917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AF5917" w:rsidRDefault="00C600EA" w:rsidP="00C600EA">
            <w:pPr>
              <w:spacing w:line="360" w:lineRule="auto"/>
              <w:ind w:hanging="2"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يمكنكم الإطلاع على دفتر الشروط الخاص بالصفقة عبر المنص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ة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 الإلكترونية المركزية لدى هيئة الشراء العام 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</w:rPr>
              <w:t>ppa.gov.lb</w:t>
            </w:r>
          </w:p>
          <w:p w14:paraId="20B5AAB9" w14:textId="716F2C29" w:rsidR="00B235FD" w:rsidRPr="00AF5917" w:rsidRDefault="00C600EA" w:rsidP="00757C70">
            <w:pPr>
              <w:spacing w:line="360" w:lineRule="auto"/>
              <w:ind w:hanging="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</w:rPr>
              <w:t>Technology</w:t>
            </w:r>
            <w:r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 Procurement على الرقم التالي 03792243 أو عبر البريد الإلكتروني</w:t>
            </w:r>
            <w:r w:rsidRPr="00AF591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97452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EC51EB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</w:rPr>
              <w:t>TechProcurement@touch.com.lb</w:t>
            </w:r>
          </w:p>
        </w:tc>
      </w:tr>
    </w:tbl>
    <w:p w14:paraId="1E24E8AD" w14:textId="77777777" w:rsidR="002B494C" w:rsidRPr="00AF5917" w:rsidRDefault="002B494C" w:rsidP="00312085">
      <w:pPr>
        <w:spacing w:line="240" w:lineRule="auto"/>
        <w:ind w:firstLine="0"/>
        <w:jc w:val="both"/>
        <w:rPr>
          <w:rFonts w:asciiTheme="majorBidi" w:hAnsiTheme="majorBidi" w:cstheme="majorBidi"/>
          <w:sz w:val="22"/>
          <w:szCs w:val="22"/>
          <w:rtl/>
        </w:rPr>
      </w:pPr>
    </w:p>
    <w:sectPr w:rsidR="002B494C" w:rsidRPr="00AF5917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E1B"/>
    <w:multiLevelType w:val="hybridMultilevel"/>
    <w:tmpl w:val="689CA474"/>
    <w:lvl w:ilvl="0" w:tplc="829881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637"/>
    <w:multiLevelType w:val="hybridMultilevel"/>
    <w:tmpl w:val="8400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0796A"/>
    <w:multiLevelType w:val="hybridMultilevel"/>
    <w:tmpl w:val="3F38C95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2C2F4657"/>
    <w:multiLevelType w:val="multilevel"/>
    <w:tmpl w:val="6DD6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C73CC"/>
    <w:multiLevelType w:val="hybridMultilevel"/>
    <w:tmpl w:val="4940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D21D8"/>
    <w:multiLevelType w:val="hybridMultilevel"/>
    <w:tmpl w:val="2446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23EA7"/>
    <w:rsid w:val="0004604D"/>
    <w:rsid w:val="000468CC"/>
    <w:rsid w:val="00051B21"/>
    <w:rsid w:val="00057E7A"/>
    <w:rsid w:val="000812FA"/>
    <w:rsid w:val="00091AA0"/>
    <w:rsid w:val="000C323F"/>
    <w:rsid w:val="000C4C75"/>
    <w:rsid w:val="000E640A"/>
    <w:rsid w:val="000F5BBC"/>
    <w:rsid w:val="00103B14"/>
    <w:rsid w:val="00117135"/>
    <w:rsid w:val="001176D5"/>
    <w:rsid w:val="001335D4"/>
    <w:rsid w:val="0014296E"/>
    <w:rsid w:val="001532FA"/>
    <w:rsid w:val="001667F8"/>
    <w:rsid w:val="00173BFD"/>
    <w:rsid w:val="00174117"/>
    <w:rsid w:val="0018466D"/>
    <w:rsid w:val="00193359"/>
    <w:rsid w:val="001947B8"/>
    <w:rsid w:val="00196C08"/>
    <w:rsid w:val="001A4716"/>
    <w:rsid w:val="001B03BC"/>
    <w:rsid w:val="001C232D"/>
    <w:rsid w:val="002015C3"/>
    <w:rsid w:val="00206B49"/>
    <w:rsid w:val="0021171F"/>
    <w:rsid w:val="00232E85"/>
    <w:rsid w:val="00241015"/>
    <w:rsid w:val="002459F9"/>
    <w:rsid w:val="0024709A"/>
    <w:rsid w:val="002535B0"/>
    <w:rsid w:val="00257D4C"/>
    <w:rsid w:val="002846FE"/>
    <w:rsid w:val="0029172A"/>
    <w:rsid w:val="00297452"/>
    <w:rsid w:val="002A08ED"/>
    <w:rsid w:val="002B00AD"/>
    <w:rsid w:val="002B420D"/>
    <w:rsid w:val="002B494C"/>
    <w:rsid w:val="002B7048"/>
    <w:rsid w:val="002C14E6"/>
    <w:rsid w:val="002D7A72"/>
    <w:rsid w:val="002E4633"/>
    <w:rsid w:val="00312085"/>
    <w:rsid w:val="0034068C"/>
    <w:rsid w:val="003425A8"/>
    <w:rsid w:val="00361536"/>
    <w:rsid w:val="00376DEB"/>
    <w:rsid w:val="003927AE"/>
    <w:rsid w:val="003C2E16"/>
    <w:rsid w:val="003C7DE7"/>
    <w:rsid w:val="003D35EC"/>
    <w:rsid w:val="003E0DEF"/>
    <w:rsid w:val="003E594F"/>
    <w:rsid w:val="003F0B8F"/>
    <w:rsid w:val="00421177"/>
    <w:rsid w:val="00421691"/>
    <w:rsid w:val="0042600C"/>
    <w:rsid w:val="00426B60"/>
    <w:rsid w:val="00427FCC"/>
    <w:rsid w:val="004355A0"/>
    <w:rsid w:val="0043591D"/>
    <w:rsid w:val="00443E51"/>
    <w:rsid w:val="0044602D"/>
    <w:rsid w:val="004611C7"/>
    <w:rsid w:val="00493266"/>
    <w:rsid w:val="004A1335"/>
    <w:rsid w:val="004B062A"/>
    <w:rsid w:val="004B0E5E"/>
    <w:rsid w:val="004C010B"/>
    <w:rsid w:val="004C34D2"/>
    <w:rsid w:val="004D7817"/>
    <w:rsid w:val="004F6185"/>
    <w:rsid w:val="00501F37"/>
    <w:rsid w:val="00536C7B"/>
    <w:rsid w:val="0053774B"/>
    <w:rsid w:val="00560775"/>
    <w:rsid w:val="005815AA"/>
    <w:rsid w:val="00591B40"/>
    <w:rsid w:val="0059334D"/>
    <w:rsid w:val="005A0FD0"/>
    <w:rsid w:val="005A1E3B"/>
    <w:rsid w:val="005A5719"/>
    <w:rsid w:val="005D1469"/>
    <w:rsid w:val="00600FB3"/>
    <w:rsid w:val="00602315"/>
    <w:rsid w:val="006069EB"/>
    <w:rsid w:val="00607625"/>
    <w:rsid w:val="00607ED7"/>
    <w:rsid w:val="00614D21"/>
    <w:rsid w:val="006349FC"/>
    <w:rsid w:val="00645BC0"/>
    <w:rsid w:val="00646963"/>
    <w:rsid w:val="00693D36"/>
    <w:rsid w:val="006B5B5A"/>
    <w:rsid w:val="006C23F3"/>
    <w:rsid w:val="006C668C"/>
    <w:rsid w:val="006C7163"/>
    <w:rsid w:val="006D5520"/>
    <w:rsid w:val="00710D03"/>
    <w:rsid w:val="007243CE"/>
    <w:rsid w:val="007524D1"/>
    <w:rsid w:val="00757C70"/>
    <w:rsid w:val="007823AC"/>
    <w:rsid w:val="0079090C"/>
    <w:rsid w:val="00795C6E"/>
    <w:rsid w:val="00795DA0"/>
    <w:rsid w:val="007A18DF"/>
    <w:rsid w:val="007B143A"/>
    <w:rsid w:val="007B65C4"/>
    <w:rsid w:val="007D4026"/>
    <w:rsid w:val="007E2C66"/>
    <w:rsid w:val="007F36D7"/>
    <w:rsid w:val="007F6601"/>
    <w:rsid w:val="00801F32"/>
    <w:rsid w:val="0080739D"/>
    <w:rsid w:val="008121EE"/>
    <w:rsid w:val="0081782A"/>
    <w:rsid w:val="00823E2E"/>
    <w:rsid w:val="008676C4"/>
    <w:rsid w:val="0087029C"/>
    <w:rsid w:val="008814FC"/>
    <w:rsid w:val="00885215"/>
    <w:rsid w:val="008D3049"/>
    <w:rsid w:val="008E70EB"/>
    <w:rsid w:val="008F58E9"/>
    <w:rsid w:val="0091237C"/>
    <w:rsid w:val="009168D1"/>
    <w:rsid w:val="00925BF0"/>
    <w:rsid w:val="0092753D"/>
    <w:rsid w:val="00940B28"/>
    <w:rsid w:val="009552E8"/>
    <w:rsid w:val="0095569C"/>
    <w:rsid w:val="00961B11"/>
    <w:rsid w:val="00967D45"/>
    <w:rsid w:val="00977899"/>
    <w:rsid w:val="00977E91"/>
    <w:rsid w:val="00985382"/>
    <w:rsid w:val="00993723"/>
    <w:rsid w:val="009945A4"/>
    <w:rsid w:val="009A3962"/>
    <w:rsid w:val="009C7D15"/>
    <w:rsid w:val="009D4EF8"/>
    <w:rsid w:val="009D703B"/>
    <w:rsid w:val="009E74A5"/>
    <w:rsid w:val="00A049F7"/>
    <w:rsid w:val="00A073DF"/>
    <w:rsid w:val="00A172A5"/>
    <w:rsid w:val="00A23D1D"/>
    <w:rsid w:val="00A859BE"/>
    <w:rsid w:val="00A904EA"/>
    <w:rsid w:val="00A97199"/>
    <w:rsid w:val="00A975FF"/>
    <w:rsid w:val="00AA2A6E"/>
    <w:rsid w:val="00AD30C8"/>
    <w:rsid w:val="00AE0E36"/>
    <w:rsid w:val="00AF5917"/>
    <w:rsid w:val="00B111F4"/>
    <w:rsid w:val="00B234B0"/>
    <w:rsid w:val="00B235FD"/>
    <w:rsid w:val="00B23D2D"/>
    <w:rsid w:val="00B244EE"/>
    <w:rsid w:val="00B32528"/>
    <w:rsid w:val="00B540D2"/>
    <w:rsid w:val="00B907AE"/>
    <w:rsid w:val="00B911D6"/>
    <w:rsid w:val="00BC4AC3"/>
    <w:rsid w:val="00BD3B31"/>
    <w:rsid w:val="00C04D5C"/>
    <w:rsid w:val="00C07FFD"/>
    <w:rsid w:val="00C23DB5"/>
    <w:rsid w:val="00C45470"/>
    <w:rsid w:val="00C600EA"/>
    <w:rsid w:val="00C6345B"/>
    <w:rsid w:val="00C73A4F"/>
    <w:rsid w:val="00C75ED9"/>
    <w:rsid w:val="00C85061"/>
    <w:rsid w:val="00C86499"/>
    <w:rsid w:val="00CA289F"/>
    <w:rsid w:val="00CA4788"/>
    <w:rsid w:val="00CA7C6C"/>
    <w:rsid w:val="00CB54DA"/>
    <w:rsid w:val="00CB7C89"/>
    <w:rsid w:val="00CC39DC"/>
    <w:rsid w:val="00CE6741"/>
    <w:rsid w:val="00CF4D51"/>
    <w:rsid w:val="00D15312"/>
    <w:rsid w:val="00D40723"/>
    <w:rsid w:val="00D66FFD"/>
    <w:rsid w:val="00D7469C"/>
    <w:rsid w:val="00D77AA6"/>
    <w:rsid w:val="00D84094"/>
    <w:rsid w:val="00DA0864"/>
    <w:rsid w:val="00DB35D9"/>
    <w:rsid w:val="00DE1986"/>
    <w:rsid w:val="00E30097"/>
    <w:rsid w:val="00E30E9C"/>
    <w:rsid w:val="00E32BA0"/>
    <w:rsid w:val="00E33FBD"/>
    <w:rsid w:val="00E35D1F"/>
    <w:rsid w:val="00E36313"/>
    <w:rsid w:val="00E4646C"/>
    <w:rsid w:val="00E5042A"/>
    <w:rsid w:val="00E56044"/>
    <w:rsid w:val="00E60DD0"/>
    <w:rsid w:val="00E92557"/>
    <w:rsid w:val="00EB30B4"/>
    <w:rsid w:val="00EB6B1F"/>
    <w:rsid w:val="00EB7FF3"/>
    <w:rsid w:val="00EC214E"/>
    <w:rsid w:val="00EC33EA"/>
    <w:rsid w:val="00EC51EB"/>
    <w:rsid w:val="00EC51FE"/>
    <w:rsid w:val="00EE204C"/>
    <w:rsid w:val="00EE738A"/>
    <w:rsid w:val="00F03B5D"/>
    <w:rsid w:val="00F04DAC"/>
    <w:rsid w:val="00F15066"/>
    <w:rsid w:val="00F311FB"/>
    <w:rsid w:val="00F43755"/>
    <w:rsid w:val="00F65409"/>
    <w:rsid w:val="00F65BE0"/>
    <w:rsid w:val="00F72356"/>
    <w:rsid w:val="00F82397"/>
    <w:rsid w:val="00F85F9A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7</cp:revision>
  <cp:lastPrinted>2022-08-29T09:45:00Z</cp:lastPrinted>
  <dcterms:created xsi:type="dcterms:W3CDTF">2024-05-20T12:35:00Z</dcterms:created>
  <dcterms:modified xsi:type="dcterms:W3CDTF">2024-08-01T10:19:00Z</dcterms:modified>
</cp:coreProperties>
</file>