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A540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5B5E74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5B5E74">
        <w:rPr>
          <w:rFonts w:ascii="Simplified Arabic" w:eastAsia="Simplified Arabic" w:hAnsi="Simplified Arabic" w:cs="Simplified Arabic"/>
          <w:b/>
          <w:sz w:val="28"/>
          <w:szCs w:val="28"/>
        </w:rPr>
        <w:t>4561</w:t>
      </w:r>
      <w:r w:rsidR="005B5E74" w:rsidRPr="008C4124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/1/M dated </w:t>
      </w:r>
      <w:r w:rsidR="005B5E74">
        <w:rPr>
          <w:rFonts w:ascii="Simplified Arabic" w:eastAsia="Simplified Arabic" w:hAnsi="Simplified Arabic" w:cs="Simplified Arabic"/>
          <w:b/>
          <w:sz w:val="28"/>
          <w:szCs w:val="28"/>
        </w:rPr>
        <w:t>15</w:t>
      </w:r>
      <w:r w:rsidR="005B5E74" w:rsidRPr="008C4124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October 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5B5E74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5B5E74" w:rsidRPr="008C4124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مناقصة عمومية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7C1E9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7C1E93" w:rsidRPr="007C1E93">
              <w:rPr>
                <w:b/>
                <w:sz w:val="28"/>
                <w:szCs w:val="28"/>
              </w:rPr>
              <w:t>Application Policy Infrastructure Controller (APIC) RFP</w:t>
            </w:r>
            <w:r w:rsidR="005B5E74" w:rsidRPr="008C4124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="005B5E74" w:rsidRPr="008C4124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مناقصة عمومية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7C1E9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C1E93">
              <w:rPr>
                <w:sz w:val="28"/>
                <w:szCs w:val="28"/>
              </w:rPr>
              <w:t>1536/2024</w:t>
            </w:r>
            <w:r w:rsidR="0014542B" w:rsidRPr="0014542B">
              <w:rPr>
                <w:sz w:val="28"/>
                <w:szCs w:val="28"/>
                <w:rtl/>
              </w:rPr>
              <w:t xml:space="preserve">) تاريخ </w:t>
            </w:r>
            <w:r w:rsidR="005B5E7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15</w:t>
            </w:r>
            <w:r w:rsidR="005B5E7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)</w:t>
            </w:r>
            <w:r w:rsidR="005B5E74" w:rsidRPr="008C4124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October 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7D3127" w:rsidRDefault="00E34ED2" w:rsidP="00B819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Pr="00884C6C">
              <w:rPr>
                <w:color w:val="000000"/>
                <w:sz w:val="28"/>
                <w:szCs w:val="28"/>
                <w:rtl/>
              </w:rPr>
              <w:t>(</w:t>
            </w:r>
            <w:r w:rsidR="00884C6C" w:rsidRPr="00884C6C">
              <w:rPr>
                <w:color w:val="000000"/>
                <w:sz w:val="28"/>
                <w:szCs w:val="28"/>
              </w:rPr>
              <w:t>5 December 2024,</w:t>
            </w:r>
            <w:r w:rsidR="00C1390C" w:rsidRPr="00884C6C">
              <w:rPr>
                <w:color w:val="000000"/>
                <w:sz w:val="28"/>
                <w:szCs w:val="28"/>
              </w:rPr>
              <w:t xml:space="preserve"> 10:30 AM</w:t>
            </w:r>
            <w:r w:rsidRPr="00884C6C"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color w:val="000000"/>
                <w:sz w:val="28"/>
                <w:szCs w:val="28"/>
                <w:rtl/>
              </w:rPr>
              <w:t>اجتمعت لجنة التلزيم المشكّلة بموجب قرار (</w:t>
            </w:r>
            <w:r w:rsidR="000536E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4561</w:t>
            </w:r>
            <w:r w:rsidR="000536EA" w:rsidRPr="008C4124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/1/M dated </w:t>
            </w:r>
            <w:r w:rsidR="000536E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15</w:t>
            </w:r>
            <w:r w:rsidR="000536EA" w:rsidRPr="008C4124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October 2024</w:t>
            </w:r>
            <w:r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9D3FF7" w:rsidRPr="008E1395" w:rsidRDefault="00E34ED2" w:rsidP="008E13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97A9C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97A9C" w:rsidRPr="00463D3A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عرض وحيد</w:t>
            </w:r>
            <w:r w:rsidR="00463D3A">
              <w:rPr>
                <w:b/>
                <w:bCs/>
                <w:color w:val="000000"/>
                <w:sz w:val="28"/>
                <w:szCs w:val="28"/>
                <w:lang w:bidi="ar-LB"/>
              </w:rPr>
              <w:t>/</w:t>
            </w:r>
            <w:bookmarkStart w:id="1" w:name="_GoBack"/>
            <w:bookmarkEnd w:id="1"/>
          </w:p>
          <w:p w:rsidR="00D6791A" w:rsidRPr="00D6791A" w:rsidRDefault="00A62181" w:rsidP="002A54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2A5402">
              <w:rPr>
                <w:b/>
                <w:color w:val="000000"/>
                <w:sz w:val="28"/>
                <w:szCs w:val="28"/>
              </w:rPr>
              <w:t>MIC2 S.A.L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2A5402">
              <w:rPr>
                <w:rFonts w:hint="cs"/>
                <w:b/>
                <w:color w:val="000000"/>
                <w:sz w:val="28"/>
                <w:szCs w:val="28"/>
                <w:rtl/>
              </w:rPr>
              <w:t>4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ء التلزيم </w:t>
            </w:r>
            <w:r w:rsidR="008E1395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(تقدم عرض الوحيد المقبول</w:t>
            </w:r>
            <w:r w:rsidR="008E13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واعادة العرض والاق</w:t>
            </w:r>
            <w:r w:rsidR="002A5402">
              <w:rPr>
                <w:rFonts w:hint="cs"/>
                <w:b/>
                <w:color w:val="000000"/>
                <w:sz w:val="28"/>
                <w:szCs w:val="28"/>
                <w:rtl/>
              </w:rPr>
              <w:t>تراحات التي لم تفتح الى العارض الوحيد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6C6DB7" w:rsidRPr="008A382F" w:rsidTr="004878DC">
        <w:trPr>
          <w:trHeight w:val="87"/>
          <w:jc w:val="right"/>
        </w:trPr>
        <w:tc>
          <w:tcPr>
            <w:tcW w:w="4320" w:type="dxa"/>
          </w:tcPr>
          <w:p w:rsidR="006C6DB7" w:rsidRPr="008A382F" w:rsidRDefault="006C6DB7" w:rsidP="00487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 December 2024</w:t>
            </w:r>
          </w:p>
        </w:tc>
      </w:tr>
      <w:tr w:rsidR="006C6DB7" w:rsidRPr="008A382F" w:rsidTr="004878DC">
        <w:trPr>
          <w:trHeight w:val="25"/>
          <w:jc w:val="right"/>
        </w:trPr>
        <w:tc>
          <w:tcPr>
            <w:tcW w:w="4320" w:type="dxa"/>
          </w:tcPr>
          <w:p w:rsidR="006C6DB7" w:rsidRDefault="006C6DB7" w:rsidP="004878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6C6DB7" w:rsidRPr="008A382F" w:rsidRDefault="006C6DB7" w:rsidP="004878DC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6C6DB7" w:rsidRDefault="00F345CF" w:rsidP="00F345CF"/>
    <w:sectPr w:rsidR="00F345CF" w:rsidRPr="006C6DB7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536EA"/>
    <w:rsid w:val="0014542B"/>
    <w:rsid w:val="001C58C0"/>
    <w:rsid w:val="002131F9"/>
    <w:rsid w:val="0022705D"/>
    <w:rsid w:val="002540C5"/>
    <w:rsid w:val="002A5402"/>
    <w:rsid w:val="003F2309"/>
    <w:rsid w:val="00463D3A"/>
    <w:rsid w:val="005B5E74"/>
    <w:rsid w:val="00643804"/>
    <w:rsid w:val="006C6DB7"/>
    <w:rsid w:val="007B26FC"/>
    <w:rsid w:val="007C1E93"/>
    <w:rsid w:val="007D3127"/>
    <w:rsid w:val="00884C6C"/>
    <w:rsid w:val="008A13C0"/>
    <w:rsid w:val="008A382F"/>
    <w:rsid w:val="008E1395"/>
    <w:rsid w:val="0097004A"/>
    <w:rsid w:val="009D3FF7"/>
    <w:rsid w:val="00A62181"/>
    <w:rsid w:val="00B81910"/>
    <w:rsid w:val="00B97A9C"/>
    <w:rsid w:val="00C1390C"/>
    <w:rsid w:val="00CA0197"/>
    <w:rsid w:val="00CE4F54"/>
    <w:rsid w:val="00D3443F"/>
    <w:rsid w:val="00D37EE1"/>
    <w:rsid w:val="00D61CE5"/>
    <w:rsid w:val="00D61E80"/>
    <w:rsid w:val="00D6791A"/>
    <w:rsid w:val="00E34ED2"/>
    <w:rsid w:val="00F345CF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5C96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Hiba El Hajj Sleiman</cp:lastModifiedBy>
  <cp:revision>3</cp:revision>
  <dcterms:created xsi:type="dcterms:W3CDTF">2024-12-05T09:44:00Z</dcterms:created>
  <dcterms:modified xsi:type="dcterms:W3CDTF">2024-12-05T10:15:00Z</dcterms:modified>
</cp:coreProperties>
</file>