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127" w:rsidRDefault="007D312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bidiVisual/>
        <w:tblW w:w="2886" w:type="dxa"/>
        <w:tblInd w:w="-390" w:type="dxa"/>
        <w:tblBorders>
          <w:top w:val="nil"/>
          <w:left w:val="nil"/>
          <w:bottom w:val="nil"/>
          <w:right w:val="nil"/>
          <w:insideH w:val="nil"/>
          <w:insideV w:val="nil"/>
        </w:tblBorders>
        <w:tblLayout w:type="fixed"/>
        <w:tblLook w:val="0400" w:firstRow="0" w:lastRow="0" w:firstColumn="0" w:lastColumn="0" w:noHBand="0" w:noVBand="1"/>
      </w:tblPr>
      <w:tblGrid>
        <w:gridCol w:w="2886"/>
      </w:tblGrid>
      <w:tr w:rsidR="007D3127" w:rsidRPr="001C58C0" w:rsidTr="00CA0197">
        <w:tc>
          <w:tcPr>
            <w:tcW w:w="2886" w:type="dxa"/>
          </w:tcPr>
          <w:p w:rsidR="007D3127" w:rsidRPr="001C58C0" w:rsidRDefault="00E34ED2" w:rsidP="00CA0197">
            <w:pPr>
              <w:pBdr>
                <w:top w:val="nil"/>
                <w:left w:val="nil"/>
                <w:bottom w:val="nil"/>
                <w:right w:val="nil"/>
                <w:between w:val="nil"/>
              </w:pBdr>
              <w:tabs>
                <w:tab w:val="center" w:pos="4153"/>
                <w:tab w:val="right" w:pos="8306"/>
                <w:tab w:val="center" w:pos="-2837"/>
                <w:tab w:val="center" w:pos="-2695"/>
                <w:tab w:val="right" w:pos="12191"/>
              </w:tabs>
              <w:spacing w:before="60"/>
              <w:jc w:val="center"/>
              <w:rPr>
                <w:b/>
                <w:bCs/>
                <w:i/>
                <w:color w:val="000000"/>
                <w:sz w:val="32"/>
                <w:szCs w:val="32"/>
              </w:rPr>
            </w:pPr>
            <w:bookmarkStart w:id="0" w:name="_Hlk140088740"/>
            <w:r w:rsidRPr="001C58C0">
              <w:rPr>
                <w:b/>
                <w:bCs/>
                <w:i/>
                <w:color w:val="000000"/>
                <w:sz w:val="32"/>
                <w:szCs w:val="32"/>
                <w:rtl/>
              </w:rPr>
              <w:t>الجمهورية اللبنانية</w:t>
            </w:r>
          </w:p>
          <w:p w:rsidR="007D3127" w:rsidRPr="00CA0197" w:rsidRDefault="0022705D" w:rsidP="00CA0197">
            <w:pPr>
              <w:pBdr>
                <w:top w:val="nil"/>
                <w:left w:val="nil"/>
                <w:bottom w:val="nil"/>
                <w:right w:val="nil"/>
                <w:between w:val="nil"/>
              </w:pBdr>
              <w:tabs>
                <w:tab w:val="center" w:pos="4153"/>
                <w:tab w:val="right" w:pos="8306"/>
                <w:tab w:val="center" w:pos="-2837"/>
                <w:tab w:val="center" w:pos="-2695"/>
                <w:tab w:val="right" w:pos="12191"/>
              </w:tabs>
              <w:spacing w:before="60"/>
              <w:jc w:val="center"/>
              <w:rPr>
                <w:b/>
                <w:bCs/>
                <w:i/>
                <w:color w:val="000000"/>
                <w:sz w:val="32"/>
                <w:szCs w:val="32"/>
              </w:rPr>
            </w:pPr>
            <w:r>
              <w:rPr>
                <w:rFonts w:hint="cs"/>
                <w:b/>
                <w:bCs/>
                <w:i/>
                <w:color w:val="000000"/>
                <w:sz w:val="32"/>
                <w:szCs w:val="32"/>
                <w:rtl/>
              </w:rPr>
              <w:t xml:space="preserve">تحديد </w:t>
            </w:r>
            <w:r w:rsidR="00E34ED2" w:rsidRPr="001C58C0">
              <w:rPr>
                <w:b/>
                <w:bCs/>
                <w:i/>
                <w:color w:val="000000"/>
                <w:sz w:val="32"/>
                <w:szCs w:val="32"/>
                <w:rtl/>
              </w:rPr>
              <w:t>اسم الجهة الشارية</w:t>
            </w:r>
          </w:p>
        </w:tc>
      </w:tr>
    </w:tbl>
    <w:p w:rsidR="00CA0197" w:rsidRDefault="00CA0197" w:rsidP="00CA0197">
      <w:pPr>
        <w:spacing w:line="360" w:lineRule="auto"/>
        <w:jc w:val="both"/>
        <w:rPr>
          <w:b/>
          <w:bCs/>
          <w:sz w:val="32"/>
          <w:szCs w:val="32"/>
          <w:rtl/>
        </w:rPr>
      </w:pPr>
      <w:r w:rsidRPr="00AB4123">
        <w:rPr>
          <w:rFonts w:ascii="Simplified Arabic" w:eastAsia="Simplified Arabic" w:hAnsi="Simplified Arabic" w:cs="Simplified Arabic" w:hint="cs"/>
          <w:bCs/>
          <w:sz w:val="28"/>
          <w:szCs w:val="28"/>
          <w:rtl/>
        </w:rPr>
        <w:t>القرار</w:t>
      </w:r>
      <w:r w:rsidRPr="00AB4123">
        <w:rPr>
          <w:rFonts w:ascii="Simplified Arabic" w:eastAsia="Simplified Arabic" w:hAnsi="Simplified Arabic" w:cs="Simplified Arabic"/>
          <w:bCs/>
          <w:sz w:val="28"/>
          <w:szCs w:val="28"/>
          <w:rtl/>
        </w:rPr>
        <w:t xml:space="preserve">: </w:t>
      </w:r>
      <w:r w:rsidRPr="00AB4123">
        <w:rPr>
          <w:rFonts w:ascii="Simplified Arabic" w:eastAsia="Simplified Arabic" w:hAnsi="Simplified Arabic" w:cs="Simplified Arabic" w:hint="cs"/>
          <w:b/>
          <w:sz w:val="28"/>
          <w:szCs w:val="28"/>
          <w:rtl/>
        </w:rPr>
        <w:t xml:space="preserve">(رقم </w:t>
      </w:r>
      <w:r>
        <w:rPr>
          <w:rFonts w:ascii="Simplified Arabic" w:eastAsia="Simplified Arabic" w:hAnsi="Simplified Arabic" w:cs="Simplified Arabic" w:hint="cs"/>
          <w:b/>
          <w:sz w:val="28"/>
          <w:szCs w:val="28"/>
          <w:rtl/>
        </w:rPr>
        <w:t xml:space="preserve">وتاريخ القرار بحسب سجل </w:t>
      </w:r>
      <w:r w:rsidRPr="00AB4123">
        <w:rPr>
          <w:rFonts w:ascii="Simplified Arabic" w:eastAsia="Simplified Arabic" w:hAnsi="Simplified Arabic" w:cs="Simplified Arabic" w:hint="cs"/>
          <w:b/>
          <w:sz w:val="28"/>
          <w:szCs w:val="28"/>
          <w:rtl/>
        </w:rPr>
        <w:t>اجراءات الشراء)</w:t>
      </w:r>
    </w:p>
    <w:bookmarkEnd w:id="0"/>
    <w:p w:rsidR="007D3127" w:rsidRPr="001C58C0" w:rsidRDefault="00E34ED2">
      <w:pPr>
        <w:spacing w:line="360" w:lineRule="auto"/>
        <w:jc w:val="center"/>
        <w:rPr>
          <w:b/>
          <w:bCs/>
          <w:sz w:val="32"/>
          <w:szCs w:val="32"/>
        </w:rPr>
      </w:pPr>
      <w:r w:rsidRPr="001C58C0">
        <w:rPr>
          <w:b/>
          <w:bCs/>
          <w:sz w:val="32"/>
          <w:szCs w:val="32"/>
          <w:rtl/>
        </w:rPr>
        <w:t>اشعار بنشر قرار</w:t>
      </w:r>
    </w:p>
    <w:p w:rsidR="007D3127" w:rsidRPr="001C58C0" w:rsidRDefault="00E34ED2" w:rsidP="00A62181">
      <w:pPr>
        <w:spacing w:line="360" w:lineRule="auto"/>
        <w:jc w:val="center"/>
        <w:rPr>
          <w:b/>
          <w:bCs/>
          <w:sz w:val="32"/>
          <w:szCs w:val="32"/>
          <w:rtl/>
          <w:lang w:bidi="ar-LB"/>
        </w:rPr>
      </w:pPr>
      <w:r w:rsidRPr="001C58C0">
        <w:rPr>
          <w:b/>
          <w:bCs/>
          <w:sz w:val="32"/>
          <w:szCs w:val="32"/>
          <w:rtl/>
        </w:rPr>
        <w:t xml:space="preserve"> </w:t>
      </w:r>
      <w:r w:rsidR="00A62181" w:rsidRPr="001C58C0">
        <w:rPr>
          <w:rFonts w:hint="cs"/>
          <w:b/>
          <w:bCs/>
          <w:sz w:val="32"/>
          <w:szCs w:val="32"/>
          <w:rtl/>
          <w:lang w:bidi="ar-LB"/>
        </w:rPr>
        <w:t>إلغاء (تحديد طريقة الشراء)</w:t>
      </w:r>
    </w:p>
    <w:p w:rsidR="007D3127" w:rsidRDefault="007D3127">
      <w:pPr>
        <w:rPr>
          <w:sz w:val="28"/>
          <w:szCs w:val="28"/>
        </w:rPr>
      </w:pPr>
    </w:p>
    <w:tbl>
      <w:tblPr>
        <w:tblStyle w:val="a0"/>
        <w:bidiVisual/>
        <w:tblW w:w="105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7"/>
      </w:tblGrid>
      <w:tr w:rsidR="007D3127" w:rsidTr="0014542B">
        <w:trPr>
          <w:trHeight w:val="699"/>
        </w:trPr>
        <w:tc>
          <w:tcPr>
            <w:tcW w:w="10517" w:type="dxa"/>
            <w:vAlign w:val="center"/>
          </w:tcPr>
          <w:p w:rsidR="007D3127" w:rsidRDefault="00E34ED2" w:rsidP="008A4181">
            <w:pPr>
              <w:keepNext/>
              <w:tabs>
                <w:tab w:val="left" w:pos="6094"/>
              </w:tabs>
              <w:spacing w:line="360" w:lineRule="auto"/>
              <w:jc w:val="both"/>
              <w:rPr>
                <w:sz w:val="28"/>
                <w:szCs w:val="28"/>
              </w:rPr>
            </w:pPr>
            <w:r w:rsidRPr="0014542B">
              <w:rPr>
                <w:b/>
                <w:bCs/>
                <w:sz w:val="28"/>
                <w:szCs w:val="28"/>
                <w:rtl/>
              </w:rPr>
              <w:t>الموضوع</w:t>
            </w:r>
            <w:r>
              <w:rPr>
                <w:sz w:val="28"/>
                <w:szCs w:val="28"/>
              </w:rPr>
              <w:t xml:space="preserve">: </w:t>
            </w:r>
            <w:r w:rsidR="0014542B">
              <w:rPr>
                <w:rFonts w:hint="cs"/>
                <w:sz w:val="28"/>
                <w:szCs w:val="28"/>
                <w:rtl/>
              </w:rPr>
              <w:t xml:space="preserve"> إلغاء </w:t>
            </w:r>
            <w:r>
              <w:rPr>
                <w:b/>
                <w:sz w:val="28"/>
                <w:szCs w:val="28"/>
                <w:rtl/>
              </w:rPr>
              <w:t>(</w:t>
            </w:r>
            <w:r w:rsidR="008A4181">
              <w:rPr>
                <w:rFonts w:hint="cs"/>
                <w:b/>
                <w:sz w:val="28"/>
                <w:szCs w:val="28"/>
                <w:rtl/>
              </w:rPr>
              <w:t>مناقصة عمومية</w:t>
            </w:r>
            <w:r>
              <w:rPr>
                <w:b/>
                <w:sz w:val="28"/>
                <w:szCs w:val="28"/>
                <w:rtl/>
              </w:rPr>
              <w:t xml:space="preserve"> و</w:t>
            </w:r>
            <w:r w:rsidR="009103E3" w:rsidRPr="009103E3">
              <w:rPr>
                <w:b/>
                <w:sz w:val="28"/>
                <w:szCs w:val="28"/>
              </w:rPr>
              <w:t>Dell-EMC Storage Infrastructure Upgrade and Support RFP</w:t>
            </w:r>
            <w:r>
              <w:rPr>
                <w:b/>
                <w:sz w:val="28"/>
                <w:szCs w:val="28"/>
                <w:rtl/>
              </w:rPr>
              <w:t xml:space="preserve">) </w:t>
            </w:r>
          </w:p>
          <w:p w:rsidR="007D3127" w:rsidRDefault="00E34ED2" w:rsidP="0038459F">
            <w:pPr>
              <w:keepNext/>
              <w:tabs>
                <w:tab w:val="left" w:pos="6094"/>
              </w:tabs>
              <w:spacing w:line="360" w:lineRule="auto"/>
              <w:jc w:val="both"/>
              <w:rPr>
                <w:sz w:val="28"/>
                <w:szCs w:val="28"/>
              </w:rPr>
            </w:pPr>
            <w:r w:rsidRPr="0014542B">
              <w:rPr>
                <w:b/>
                <w:bCs/>
                <w:sz w:val="28"/>
                <w:szCs w:val="28"/>
                <w:rtl/>
              </w:rPr>
              <w:t>المرجع</w:t>
            </w:r>
            <w:r>
              <w:rPr>
                <w:sz w:val="28"/>
                <w:szCs w:val="28"/>
              </w:rPr>
              <w:t xml:space="preserve">: </w:t>
            </w:r>
            <w:r w:rsidR="0014542B" w:rsidRPr="0014542B">
              <w:rPr>
                <w:sz w:val="28"/>
                <w:szCs w:val="28"/>
                <w:rtl/>
              </w:rPr>
              <w:t>الصفقة المعلن عنها على المنصة الإلكترونية المركزية لدى هيئة الشراء العام برقم (</w:t>
            </w:r>
            <w:r w:rsidR="0038459F">
              <w:rPr>
                <w:sz w:val="28"/>
                <w:szCs w:val="28"/>
              </w:rPr>
              <w:t>462/2023</w:t>
            </w:r>
            <w:r w:rsidR="0014542B" w:rsidRPr="0014542B">
              <w:rPr>
                <w:sz w:val="28"/>
                <w:szCs w:val="28"/>
                <w:rtl/>
              </w:rPr>
              <w:t>) تاريخ (</w:t>
            </w:r>
            <w:r w:rsidR="0038459F">
              <w:rPr>
                <w:sz w:val="28"/>
                <w:szCs w:val="28"/>
              </w:rPr>
              <w:t>24 March 2023</w:t>
            </w:r>
            <w:r w:rsidR="0014542B" w:rsidRPr="0014542B">
              <w:rPr>
                <w:sz w:val="28"/>
                <w:szCs w:val="28"/>
                <w:rtl/>
              </w:rPr>
              <w:t>)</w:t>
            </w:r>
          </w:p>
        </w:tc>
      </w:tr>
      <w:tr w:rsidR="007D3127" w:rsidTr="0014542B">
        <w:trPr>
          <w:trHeight w:val="3487"/>
        </w:trPr>
        <w:tc>
          <w:tcPr>
            <w:tcW w:w="10517" w:type="dxa"/>
          </w:tcPr>
          <w:p w:rsidR="00F345CF" w:rsidRDefault="00A92C1C" w:rsidP="001F4472">
            <w:pPr>
              <w:pBdr>
                <w:top w:val="nil"/>
                <w:left w:val="nil"/>
                <w:bottom w:val="nil"/>
                <w:right w:val="nil"/>
                <w:between w:val="nil"/>
              </w:pBdr>
              <w:tabs>
                <w:tab w:val="right" w:pos="9389"/>
              </w:tabs>
              <w:spacing w:before="240" w:line="360" w:lineRule="auto"/>
              <w:jc w:val="both"/>
              <w:rPr>
                <w:b/>
                <w:bCs/>
                <w:color w:val="000000"/>
                <w:sz w:val="28"/>
                <w:szCs w:val="28"/>
                <w:rtl/>
              </w:rPr>
            </w:pPr>
            <w:r>
              <w:rPr>
                <w:rFonts w:hint="cs"/>
                <w:b/>
                <w:bCs/>
                <w:color w:val="000000"/>
                <w:sz w:val="28"/>
                <w:szCs w:val="28"/>
                <w:rtl/>
              </w:rPr>
              <w:t>تم</w:t>
            </w:r>
            <w:r w:rsidR="00F345CF" w:rsidRPr="0014542B">
              <w:rPr>
                <w:rFonts w:hint="cs"/>
                <w:b/>
                <w:bCs/>
                <w:color w:val="000000"/>
                <w:sz w:val="28"/>
                <w:szCs w:val="28"/>
                <w:rtl/>
              </w:rPr>
              <w:t xml:space="preserve"> إلغاء التلزيم سندًا لأحكام المادة 25 من قانون الشراء العام (</w:t>
            </w:r>
            <w:r w:rsidR="00F345CF" w:rsidRPr="0014542B">
              <w:rPr>
                <w:b/>
                <w:bCs/>
                <w:color w:val="000000"/>
                <w:sz w:val="28"/>
                <w:szCs w:val="28"/>
                <w:rtl/>
              </w:rPr>
              <w:t>عندما تجد الجهة الشارية ضرورة إحداث تغييرات جوهرية غير متوقَّعة على ملفات التلزيم بعد الإعلان عن الشراء</w:t>
            </w:r>
            <w:r w:rsidR="001F4472">
              <w:rPr>
                <w:rFonts w:hint="cs"/>
                <w:b/>
                <w:bCs/>
                <w:color w:val="000000"/>
                <w:sz w:val="28"/>
                <w:szCs w:val="28"/>
                <w:rtl/>
              </w:rPr>
              <w:t>) وذلك بناء على التعليل التالي:</w:t>
            </w:r>
          </w:p>
          <w:p w:rsidR="001F4472" w:rsidRPr="001F4472" w:rsidRDefault="001F4472" w:rsidP="001F4472">
            <w:pPr>
              <w:bidi w:val="0"/>
              <w:spacing w:after="240" w:line="360" w:lineRule="auto"/>
              <w:jc w:val="both"/>
              <w:rPr>
                <w:b/>
                <w:bCs/>
                <w:color w:val="000000"/>
                <w:sz w:val="28"/>
                <w:szCs w:val="28"/>
              </w:rPr>
            </w:pPr>
            <w:r>
              <w:rPr>
                <w:rFonts w:asciiTheme="minorBidi" w:hAnsiTheme="minorBidi" w:cstheme="minorBidi"/>
                <w:color w:val="222222"/>
              </w:rPr>
              <w:t>“</w:t>
            </w:r>
            <w:r>
              <w:rPr>
                <w:rFonts w:asciiTheme="minorBidi" w:hAnsiTheme="minorBidi" w:cstheme="minorBidi"/>
                <w:b/>
                <w:bCs/>
                <w:i/>
                <w:iCs/>
                <w:color w:val="222222"/>
              </w:rPr>
              <w:t xml:space="preserve">After launching the aforementioned RFP to upgrade our existing system, MIC2 and </w:t>
            </w:r>
            <w:proofErr w:type="spellStart"/>
            <w:r>
              <w:rPr>
                <w:rFonts w:asciiTheme="minorBidi" w:hAnsiTheme="minorBidi" w:cstheme="minorBidi"/>
                <w:b/>
                <w:bCs/>
                <w:i/>
                <w:iCs/>
                <w:color w:val="222222"/>
              </w:rPr>
              <w:t>MoT</w:t>
            </w:r>
            <w:proofErr w:type="spellEnd"/>
            <w:r>
              <w:rPr>
                <w:rFonts w:asciiTheme="minorBidi" w:hAnsiTheme="minorBidi" w:cstheme="minorBidi"/>
                <w:b/>
                <w:bCs/>
                <w:i/>
                <w:iCs/>
                <w:color w:val="222222"/>
              </w:rPr>
              <w:t xml:space="preserve"> conducted a thorough discussion on the feasibility of transitioning to an open tender process. Consequently, we have concluded that allowing multiple vendors to bid will promote healthy competition, provide equal opportunities, and ensure fair treatment for all parties involved. This approach aims to maximize the value for public funds while maintaining operational efficiency”</w:t>
            </w:r>
            <w:r>
              <w:rPr>
                <w:rFonts w:asciiTheme="minorBidi" w:hAnsiTheme="minorBidi" w:cstheme="minorBidi"/>
                <w:color w:val="222222"/>
              </w:rPr>
              <w:t>.</w:t>
            </w:r>
          </w:p>
          <w:p w:rsidR="007D3127" w:rsidRDefault="00E34ED2" w:rsidP="007641CD">
            <w:pPr>
              <w:numPr>
                <w:ilvl w:val="0"/>
                <w:numId w:val="1"/>
              </w:numPr>
              <w:pBdr>
                <w:top w:val="nil"/>
                <w:left w:val="nil"/>
                <w:bottom w:val="nil"/>
                <w:right w:val="nil"/>
                <w:between w:val="nil"/>
              </w:pBdr>
              <w:tabs>
                <w:tab w:val="right" w:pos="9389"/>
              </w:tabs>
              <w:spacing w:line="360" w:lineRule="auto"/>
              <w:ind w:left="342" w:hanging="283"/>
              <w:jc w:val="both"/>
              <w:rPr>
                <w:color w:val="000000"/>
                <w:sz w:val="28"/>
                <w:szCs w:val="28"/>
              </w:rPr>
            </w:pPr>
            <w:r>
              <w:rPr>
                <w:color w:val="000000"/>
                <w:sz w:val="28"/>
                <w:szCs w:val="28"/>
                <w:rtl/>
              </w:rPr>
              <w:t xml:space="preserve">استلمت لجنة التلزيم الملف مع كامل محتوياته واطلعت على محضر العروض، وتبين أنه تقدم لهذا التلزيم </w:t>
            </w:r>
            <w:r w:rsidR="007641CD">
              <w:rPr>
                <w:color w:val="000000"/>
                <w:sz w:val="28"/>
                <w:szCs w:val="28"/>
              </w:rPr>
              <w:t>(4 Offers)</w:t>
            </w:r>
            <w:r>
              <w:rPr>
                <w:color w:val="000000"/>
                <w:sz w:val="28"/>
                <w:szCs w:val="28"/>
                <w:rtl/>
              </w:rPr>
              <w:t xml:space="preserve"> </w:t>
            </w:r>
          </w:p>
          <w:p w:rsidR="00D6791A" w:rsidRPr="00BD4037" w:rsidRDefault="00E35240" w:rsidP="00BD4037">
            <w:pPr>
              <w:numPr>
                <w:ilvl w:val="0"/>
                <w:numId w:val="1"/>
              </w:numPr>
              <w:pBdr>
                <w:top w:val="nil"/>
                <w:left w:val="nil"/>
                <w:bottom w:val="nil"/>
                <w:right w:val="nil"/>
                <w:between w:val="nil"/>
              </w:pBdr>
              <w:tabs>
                <w:tab w:val="right" w:pos="9389"/>
              </w:tabs>
              <w:spacing w:line="360" w:lineRule="auto"/>
              <w:ind w:left="342" w:hanging="283"/>
              <w:jc w:val="both"/>
              <w:rPr>
                <w:color w:val="000000"/>
                <w:sz w:val="28"/>
                <w:szCs w:val="28"/>
              </w:rPr>
            </w:pPr>
            <w:r>
              <w:rPr>
                <w:rFonts w:hint="cs"/>
                <w:color w:val="000000"/>
                <w:sz w:val="28"/>
                <w:szCs w:val="28"/>
                <w:rtl/>
                <w:lang w:bidi="ar-LB"/>
              </w:rPr>
              <w:t>لم تفتح العروض لأي من العارضين</w:t>
            </w:r>
            <w:r w:rsidR="00BD4037">
              <w:rPr>
                <w:rFonts w:hint="cs"/>
                <w:color w:val="000000"/>
                <w:sz w:val="28"/>
                <w:szCs w:val="28"/>
                <w:rtl/>
                <w:lang w:bidi="ar-LB"/>
              </w:rPr>
              <w:t xml:space="preserve"> و</w:t>
            </w:r>
            <w:bookmarkStart w:id="1" w:name="_GoBack"/>
            <w:bookmarkEnd w:id="1"/>
            <w:r w:rsidR="00A62181" w:rsidRPr="00BD4037">
              <w:rPr>
                <w:rFonts w:hint="cs"/>
                <w:b/>
                <w:color w:val="000000"/>
                <w:sz w:val="28"/>
                <w:szCs w:val="28"/>
                <w:rtl/>
              </w:rPr>
              <w:t>قررت إلغا</w:t>
            </w:r>
            <w:r w:rsidRPr="00BD4037">
              <w:rPr>
                <w:rFonts w:hint="cs"/>
                <w:b/>
                <w:color w:val="000000"/>
                <w:sz w:val="28"/>
                <w:szCs w:val="28"/>
                <w:rtl/>
              </w:rPr>
              <w:t>ء التلزيم واعادة العروض</w:t>
            </w:r>
            <w:r w:rsidR="00E34ED2" w:rsidRPr="00BD4037">
              <w:rPr>
                <w:rFonts w:hint="cs"/>
                <w:b/>
                <w:color w:val="000000"/>
                <w:sz w:val="28"/>
                <w:szCs w:val="28"/>
                <w:rtl/>
              </w:rPr>
              <w:t xml:space="preserve">، كما </w:t>
            </w:r>
            <w:r w:rsidR="00BD4037">
              <w:rPr>
                <w:rFonts w:hint="cs"/>
                <w:b/>
                <w:color w:val="000000"/>
                <w:sz w:val="28"/>
                <w:szCs w:val="28"/>
                <w:rtl/>
              </w:rPr>
              <w:t>سيتم</w:t>
            </w:r>
            <w:r w:rsidR="00E34ED2" w:rsidRPr="00BD4037">
              <w:rPr>
                <w:rFonts w:hint="cs"/>
                <w:b/>
                <w:color w:val="000000"/>
                <w:sz w:val="28"/>
                <w:szCs w:val="28"/>
                <w:rtl/>
              </w:rPr>
              <w:t xml:space="preserve"> تحرير الضمانات المقدمة.</w:t>
            </w:r>
          </w:p>
          <w:p w:rsidR="007D3127" w:rsidRDefault="00E34ED2" w:rsidP="0014542B">
            <w:pPr>
              <w:numPr>
                <w:ilvl w:val="0"/>
                <w:numId w:val="1"/>
              </w:numPr>
              <w:pBdr>
                <w:top w:val="nil"/>
                <w:left w:val="nil"/>
                <w:bottom w:val="nil"/>
                <w:right w:val="nil"/>
                <w:between w:val="nil"/>
              </w:pBdr>
              <w:tabs>
                <w:tab w:val="right" w:pos="9389"/>
              </w:tabs>
              <w:spacing w:line="360" w:lineRule="auto"/>
              <w:ind w:left="342" w:hanging="283"/>
              <w:jc w:val="both"/>
              <w:rPr>
                <w:color w:val="000000"/>
                <w:sz w:val="28"/>
                <w:szCs w:val="28"/>
              </w:rPr>
            </w:pPr>
            <w:r>
              <w:rPr>
                <w:color w:val="000000"/>
                <w:sz w:val="28"/>
                <w:szCs w:val="28"/>
                <w:rtl/>
              </w:rPr>
              <w:t>يُنشر هذا القرار على المنصة الإلكترونية المركزية لدى هيئة الشراء العام.</w:t>
            </w:r>
          </w:p>
        </w:tc>
      </w:tr>
    </w:tbl>
    <w:p w:rsidR="007D3127" w:rsidRDefault="007D3127">
      <w:pPr>
        <w:spacing w:line="360" w:lineRule="auto"/>
        <w:rPr>
          <w:sz w:val="28"/>
          <w:szCs w:val="28"/>
        </w:rPr>
      </w:pPr>
    </w:p>
    <w:tbl>
      <w:tblPr>
        <w:tblStyle w:val="a1"/>
        <w:bidiVisual/>
        <w:tblW w:w="4320" w:type="dxa"/>
        <w:jc w:val="right"/>
        <w:tblBorders>
          <w:top w:val="nil"/>
          <w:left w:val="nil"/>
          <w:bottom w:val="nil"/>
          <w:right w:val="nil"/>
          <w:insideH w:val="nil"/>
          <w:insideV w:val="nil"/>
        </w:tblBorders>
        <w:tblLayout w:type="fixed"/>
        <w:tblLook w:val="0400" w:firstRow="0" w:lastRow="0" w:firstColumn="0" w:lastColumn="0" w:noHBand="0" w:noVBand="1"/>
      </w:tblPr>
      <w:tblGrid>
        <w:gridCol w:w="4320"/>
      </w:tblGrid>
      <w:tr w:rsidR="007D3127" w:rsidTr="009E665A">
        <w:trPr>
          <w:trHeight w:val="87"/>
          <w:jc w:val="right"/>
        </w:trPr>
        <w:tc>
          <w:tcPr>
            <w:tcW w:w="4320" w:type="dxa"/>
          </w:tcPr>
          <w:p w:rsidR="007D3127" w:rsidRPr="008A382F" w:rsidRDefault="00CF7077">
            <w:pPr>
              <w:jc w:val="center"/>
              <w:rPr>
                <w:bCs/>
                <w:sz w:val="28"/>
                <w:szCs w:val="28"/>
              </w:rPr>
            </w:pPr>
            <w:r>
              <w:rPr>
                <w:bCs/>
                <w:sz w:val="28"/>
                <w:szCs w:val="28"/>
              </w:rPr>
              <w:t>6 November 2023</w:t>
            </w:r>
            <w:r w:rsidR="00E34ED2" w:rsidRPr="008A382F">
              <w:rPr>
                <w:bCs/>
                <w:sz w:val="28"/>
                <w:szCs w:val="28"/>
                <w:rtl/>
              </w:rPr>
              <w:t xml:space="preserve"> </w:t>
            </w:r>
          </w:p>
        </w:tc>
      </w:tr>
      <w:tr w:rsidR="007D3127" w:rsidTr="009E665A">
        <w:trPr>
          <w:trHeight w:val="25"/>
          <w:jc w:val="right"/>
        </w:trPr>
        <w:tc>
          <w:tcPr>
            <w:tcW w:w="4320" w:type="dxa"/>
          </w:tcPr>
          <w:p w:rsidR="007D3127" w:rsidRDefault="009E665A">
            <w:pPr>
              <w:jc w:val="center"/>
              <w:rPr>
                <w:bCs/>
                <w:sz w:val="28"/>
                <w:szCs w:val="28"/>
              </w:rPr>
            </w:pPr>
            <w:r>
              <w:rPr>
                <w:bCs/>
                <w:sz w:val="28"/>
                <w:szCs w:val="28"/>
              </w:rPr>
              <w:t>Salem Itani</w:t>
            </w:r>
          </w:p>
          <w:p w:rsidR="009E665A" w:rsidRPr="008A382F" w:rsidRDefault="009E665A">
            <w:pPr>
              <w:jc w:val="center"/>
              <w:rPr>
                <w:bCs/>
                <w:sz w:val="28"/>
                <w:szCs w:val="28"/>
              </w:rPr>
            </w:pPr>
            <w:r w:rsidRPr="00983E55">
              <w:rPr>
                <w:color w:val="000000"/>
                <w:sz w:val="28"/>
                <w:szCs w:val="28"/>
              </w:rPr>
              <w:t>Chairman - Chief Executive Officer</w:t>
            </w:r>
          </w:p>
        </w:tc>
      </w:tr>
    </w:tbl>
    <w:p w:rsidR="00F345CF" w:rsidRPr="00F345CF" w:rsidRDefault="00F345CF" w:rsidP="00F345CF"/>
    <w:sectPr w:rsidR="00F345CF" w:rsidRPr="00F345CF">
      <w:pgSz w:w="11906" w:h="16838"/>
      <w:pgMar w:top="540" w:right="851" w:bottom="289" w:left="851" w:header="561"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A2256"/>
    <w:multiLevelType w:val="multilevel"/>
    <w:tmpl w:val="D7649B8A"/>
    <w:lvl w:ilvl="0">
      <w:start w:val="1"/>
      <w:numFmt w:val="bullet"/>
      <w:lvlText w:val="●"/>
      <w:lvlJc w:val="left"/>
      <w:pPr>
        <w:ind w:left="1037" w:hanging="360"/>
      </w:pPr>
      <w:rPr>
        <w:rFonts w:ascii="Noto Sans Symbols" w:eastAsia="Noto Sans Symbols" w:hAnsi="Noto Sans Symbols" w:cs="Noto Sans Symbols"/>
      </w:rPr>
    </w:lvl>
    <w:lvl w:ilvl="1">
      <w:numFmt w:val="bullet"/>
      <w:lvlText w:val="-"/>
      <w:lvlJc w:val="left"/>
      <w:pPr>
        <w:ind w:left="1757" w:hanging="360"/>
      </w:pPr>
      <w:rPr>
        <w:rFonts w:ascii="Georgia" w:eastAsia="Georgia" w:hAnsi="Georgia" w:cs="Georgia"/>
        <w:b w:val="0"/>
        <w:sz w:val="28"/>
        <w:szCs w:val="28"/>
      </w:rPr>
    </w:lvl>
    <w:lvl w:ilvl="2">
      <w:start w:val="1"/>
      <w:numFmt w:val="bullet"/>
      <w:lvlText w:val="▪"/>
      <w:lvlJc w:val="left"/>
      <w:pPr>
        <w:ind w:left="2477" w:hanging="360"/>
      </w:pPr>
      <w:rPr>
        <w:rFonts w:ascii="Noto Sans Symbols" w:eastAsia="Noto Sans Symbols" w:hAnsi="Noto Sans Symbols" w:cs="Noto Sans Symbols"/>
      </w:rPr>
    </w:lvl>
    <w:lvl w:ilvl="3">
      <w:start w:val="1"/>
      <w:numFmt w:val="bullet"/>
      <w:lvlText w:val="●"/>
      <w:lvlJc w:val="left"/>
      <w:pPr>
        <w:ind w:left="3197" w:hanging="360"/>
      </w:pPr>
      <w:rPr>
        <w:rFonts w:ascii="Noto Sans Symbols" w:eastAsia="Noto Sans Symbols" w:hAnsi="Noto Sans Symbols" w:cs="Noto Sans Symbols"/>
        <w:sz w:val="24"/>
        <w:szCs w:val="24"/>
      </w:rPr>
    </w:lvl>
    <w:lvl w:ilvl="4">
      <w:start w:val="1"/>
      <w:numFmt w:val="bullet"/>
      <w:lvlText w:val="o"/>
      <w:lvlJc w:val="left"/>
      <w:pPr>
        <w:ind w:left="3917" w:hanging="360"/>
      </w:pPr>
      <w:rPr>
        <w:rFonts w:ascii="Courier New" w:eastAsia="Courier New" w:hAnsi="Courier New" w:cs="Courier New"/>
      </w:rPr>
    </w:lvl>
    <w:lvl w:ilvl="5">
      <w:start w:val="1"/>
      <w:numFmt w:val="bullet"/>
      <w:lvlText w:val="▪"/>
      <w:lvlJc w:val="left"/>
      <w:pPr>
        <w:ind w:left="4637" w:hanging="360"/>
      </w:pPr>
      <w:rPr>
        <w:rFonts w:ascii="Noto Sans Symbols" w:eastAsia="Noto Sans Symbols" w:hAnsi="Noto Sans Symbols" w:cs="Noto Sans Symbols"/>
      </w:rPr>
    </w:lvl>
    <w:lvl w:ilvl="6">
      <w:start w:val="1"/>
      <w:numFmt w:val="bullet"/>
      <w:lvlText w:val="●"/>
      <w:lvlJc w:val="left"/>
      <w:pPr>
        <w:ind w:left="5357" w:hanging="360"/>
      </w:pPr>
      <w:rPr>
        <w:rFonts w:ascii="Noto Sans Symbols" w:eastAsia="Noto Sans Symbols" w:hAnsi="Noto Sans Symbols" w:cs="Noto Sans Symbols"/>
      </w:rPr>
    </w:lvl>
    <w:lvl w:ilvl="7">
      <w:start w:val="1"/>
      <w:numFmt w:val="bullet"/>
      <w:lvlText w:val="o"/>
      <w:lvlJc w:val="left"/>
      <w:pPr>
        <w:ind w:left="6077" w:hanging="360"/>
      </w:pPr>
      <w:rPr>
        <w:rFonts w:ascii="Courier New" w:eastAsia="Courier New" w:hAnsi="Courier New" w:cs="Courier New"/>
      </w:rPr>
    </w:lvl>
    <w:lvl w:ilvl="8">
      <w:start w:val="1"/>
      <w:numFmt w:val="bullet"/>
      <w:lvlText w:val="▪"/>
      <w:lvlJc w:val="left"/>
      <w:pPr>
        <w:ind w:left="6797" w:hanging="360"/>
      </w:pPr>
      <w:rPr>
        <w:rFonts w:ascii="Noto Sans Symbols" w:eastAsia="Noto Sans Symbols" w:hAnsi="Noto Sans Symbols" w:cs="Noto Sans Symbols"/>
      </w:rPr>
    </w:lvl>
  </w:abstractNum>
  <w:abstractNum w:abstractNumId="1" w15:restartNumberingAfterBreak="0">
    <w:nsid w:val="56A53FB8"/>
    <w:multiLevelType w:val="hybridMultilevel"/>
    <w:tmpl w:val="0A7EE6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27"/>
    <w:rsid w:val="0014542B"/>
    <w:rsid w:val="001C58C0"/>
    <w:rsid w:val="001F4472"/>
    <w:rsid w:val="002131F9"/>
    <w:rsid w:val="0022705D"/>
    <w:rsid w:val="0038459F"/>
    <w:rsid w:val="003F2309"/>
    <w:rsid w:val="006278C3"/>
    <w:rsid w:val="007641CD"/>
    <w:rsid w:val="007B26FC"/>
    <w:rsid w:val="007D3127"/>
    <w:rsid w:val="008A13C0"/>
    <w:rsid w:val="008A382F"/>
    <w:rsid w:val="008A4181"/>
    <w:rsid w:val="009103E3"/>
    <w:rsid w:val="00932C24"/>
    <w:rsid w:val="0097004A"/>
    <w:rsid w:val="009E665A"/>
    <w:rsid w:val="00A62181"/>
    <w:rsid w:val="00A92C1C"/>
    <w:rsid w:val="00BD4037"/>
    <w:rsid w:val="00CA0197"/>
    <w:rsid w:val="00CF7077"/>
    <w:rsid w:val="00D3443F"/>
    <w:rsid w:val="00D37EE1"/>
    <w:rsid w:val="00D61CE5"/>
    <w:rsid w:val="00D61E80"/>
    <w:rsid w:val="00D6791A"/>
    <w:rsid w:val="00E34ED2"/>
    <w:rsid w:val="00E35240"/>
    <w:rsid w:val="00F34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D098"/>
  <w15:docId w15:val="{3D366175-D846-41D3-90ED-B143BC32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45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4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Jessy Saab</cp:lastModifiedBy>
  <cp:revision>52</cp:revision>
  <dcterms:created xsi:type="dcterms:W3CDTF">2023-06-14T10:44:00Z</dcterms:created>
  <dcterms:modified xsi:type="dcterms:W3CDTF">2023-11-06T12:12:00Z</dcterms:modified>
</cp:coreProperties>
</file>