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8715DA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رئاسة مجلس الوزراء</w:t>
                  </w:r>
                </w:p>
                <w:p w:rsidR="008715DA" w:rsidRPr="00637172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الجنوب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3F50AB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6E449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6E4499">
        <w:rPr>
          <w:rFonts w:hint="cs"/>
          <w:b/>
          <w:bCs/>
          <w:sz w:val="36"/>
          <w:szCs w:val="36"/>
          <w:rtl/>
        </w:rPr>
        <w:t>شركة أسترو ش.م.م.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B6225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r w:rsidR="0073508D">
              <w:rPr>
                <w:rFonts w:hint="cs"/>
                <w:bCs/>
                <w:sz w:val="28"/>
                <w:szCs w:val="28"/>
                <w:rtl/>
              </w:rPr>
              <w:t xml:space="preserve">أشغال ترميم </w:t>
            </w:r>
            <w:r w:rsidR="006E4499">
              <w:rPr>
                <w:rFonts w:hint="cs"/>
                <w:bCs/>
                <w:sz w:val="28"/>
                <w:szCs w:val="28"/>
                <w:rtl/>
              </w:rPr>
              <w:t xml:space="preserve">ثانوية </w:t>
            </w:r>
            <w:r w:rsidR="00B62256">
              <w:rPr>
                <w:rFonts w:hint="cs"/>
                <w:bCs/>
                <w:sz w:val="28"/>
                <w:szCs w:val="28"/>
                <w:rtl/>
              </w:rPr>
              <w:t>عيترون الرسمية في بلدة عيترون</w:t>
            </w:r>
            <w:r w:rsidR="006E4499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6E4499">
              <w:rPr>
                <w:bCs/>
                <w:sz w:val="28"/>
                <w:szCs w:val="28"/>
                <w:rtl/>
              </w:rPr>
              <w:t>–</w:t>
            </w:r>
            <w:r w:rsidR="006E4499">
              <w:rPr>
                <w:rFonts w:hint="cs"/>
                <w:bCs/>
                <w:sz w:val="28"/>
                <w:szCs w:val="28"/>
                <w:rtl/>
              </w:rPr>
              <w:t xml:space="preserve"> قضاء بنت جبيل </w:t>
            </w:r>
            <w:r w:rsidR="0073508D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bookmarkEnd w:id="0"/>
          </w:p>
          <w:p w:rsidR="003F50AB" w:rsidRDefault="0080537F" w:rsidP="004F7AC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</w:p>
          <w:p w:rsidR="00F1388A" w:rsidRPr="00E95BE0" w:rsidRDefault="00B62256" w:rsidP="00B6225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479/2025</w:t>
            </w:r>
            <w:r w:rsidR="006E4499">
              <w:rPr>
                <w:rFonts w:ascii="Arial" w:hAnsi="Arial" w:cs="Arial" w:hint="cs"/>
                <w:b/>
                <w:bCs/>
                <w:color w:val="323232"/>
                <w:sz w:val="26"/>
                <w:szCs w:val="26"/>
                <w:shd w:val="clear" w:color="auto" w:fill="FFFFFF"/>
                <w:rtl/>
              </w:rPr>
              <w:t xml:space="preserve">  </w:t>
            </w:r>
            <w:r w:rsidR="002914A1"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3</w:t>
            </w:r>
            <w:r w:rsidR="00886F92" w:rsidRPr="00E95BE0">
              <w:rPr>
                <w:b/>
                <w:bCs/>
                <w:sz w:val="27"/>
                <w:szCs w:val="27"/>
                <w:rtl/>
              </w:rPr>
              <w:t xml:space="preserve"> </w:t>
            </w:r>
            <w:r w:rsidR="003F50AB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</w:t>
            </w:r>
            <w:r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4</w:t>
            </w:r>
            <w:r w:rsidR="004F7AC7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/202</w:t>
            </w:r>
            <w:r w:rsidR="003F50AB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6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622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622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F50A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4/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202</w:t>
            </w:r>
            <w:r w:rsidR="003F50A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3F50A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E4499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تاريخ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6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العروض،وتبين أنه تقدم لهذا التلزيم/</w:t>
            </w:r>
            <w:r w:rsidR="00B62256">
              <w:rPr>
                <w:rFonts w:hint="cs"/>
                <w:color w:val="000000"/>
                <w:sz w:val="27"/>
                <w:szCs w:val="27"/>
                <w:rtl/>
              </w:rPr>
              <w:t>عرضان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6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E4499">
              <w:rPr>
                <w:rFonts w:hint="cs"/>
                <w:b/>
                <w:bCs/>
                <w:sz w:val="36"/>
                <w:szCs w:val="36"/>
                <w:rtl/>
              </w:rPr>
              <w:t>شركة أسترو ش.م.م.</w:t>
            </w:r>
            <w:r w:rsidR="006E4499" w:rsidRPr="00F17ACD">
              <w:rPr>
                <w:b/>
                <w:bCs/>
                <w:sz w:val="36"/>
                <w:szCs w:val="36"/>
              </w:rPr>
              <w:t xml:space="preserve">  </w:t>
            </w:r>
            <w:r w:rsidR="003F50AB" w:rsidRPr="00F17ACD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6E449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"حارة حريك </w:t>
            </w:r>
            <w:r w:rsidR="006E449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449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كنيسة مار مخايل </w:t>
            </w:r>
            <w:r w:rsidR="006E449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449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الجزيرة </w:t>
            </w:r>
            <w:r w:rsidR="006E449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449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الخامس </w:t>
            </w:r>
            <w:r w:rsidR="00F869D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>000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62256">
              <w:rPr>
                <w:rFonts w:hint="cs"/>
                <w:b/>
                <w:color w:val="000000"/>
                <w:sz w:val="27"/>
                <w:szCs w:val="27"/>
                <w:rtl/>
              </w:rPr>
              <w:t>16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B62256">
              <w:rPr>
                <w:rFonts w:hint="cs"/>
                <w:b/>
                <w:color w:val="000000"/>
                <w:sz w:val="27"/>
                <w:szCs w:val="27"/>
                <w:rtl/>
              </w:rPr>
              <w:t>623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B62256">
              <w:rPr>
                <w:rFonts w:hint="cs"/>
                <w:b/>
                <w:color w:val="000000"/>
                <w:sz w:val="27"/>
                <w:szCs w:val="27"/>
                <w:rtl/>
              </w:rPr>
              <w:t>200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62256">
              <w:rPr>
                <w:rFonts w:hint="cs"/>
                <w:b/>
                <w:color w:val="000000"/>
                <w:sz w:val="27"/>
                <w:szCs w:val="27"/>
                <w:rtl/>
              </w:rPr>
              <w:t>ستة</w:t>
            </w:r>
            <w:r w:rsidR="006E449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عشر مليارا و </w:t>
            </w:r>
            <w:r w:rsidR="00B62256">
              <w:rPr>
                <w:rFonts w:hint="cs"/>
                <w:b/>
                <w:color w:val="000000"/>
                <w:sz w:val="27"/>
                <w:szCs w:val="27"/>
                <w:rtl/>
              </w:rPr>
              <w:t>ست</w:t>
            </w:r>
            <w:r w:rsidR="006E449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ماية و </w:t>
            </w:r>
            <w:r w:rsidR="00B6225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وثلاثة و عشرون </w:t>
            </w:r>
            <w:r w:rsidR="006E449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مليونا و </w:t>
            </w:r>
            <w:r w:rsidR="00B62256">
              <w:rPr>
                <w:rFonts w:hint="cs"/>
                <w:b/>
                <w:color w:val="000000"/>
                <w:sz w:val="27"/>
                <w:szCs w:val="27"/>
                <w:rtl/>
              </w:rPr>
              <w:t>مايتي</w:t>
            </w:r>
            <w:r w:rsidR="006E449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869D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869D7">
              <w:rPr>
                <w:rFonts w:hint="cs"/>
                <w:b/>
                <w:color w:val="000000"/>
                <w:sz w:val="27"/>
                <w:szCs w:val="27"/>
                <w:rtl/>
              </w:rPr>
              <w:t>ألف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لبنانية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</w:p>
          <w:p w:rsidR="00AC0F13" w:rsidRPr="0080537F" w:rsidRDefault="0080537F" w:rsidP="00B6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62256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622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622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62256" w:rsidP="00735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right="1470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73508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3/4/2025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7D" w:rsidRDefault="0070647D" w:rsidP="00C27E3D">
      <w:r>
        <w:separator/>
      </w:r>
    </w:p>
  </w:endnote>
  <w:endnote w:type="continuationSeparator" w:id="0">
    <w:p w:rsidR="0070647D" w:rsidRDefault="0070647D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7D" w:rsidRDefault="0070647D" w:rsidP="00C27E3D">
      <w:r>
        <w:separator/>
      </w:r>
    </w:p>
  </w:footnote>
  <w:footnote w:type="continuationSeparator" w:id="0">
    <w:p w:rsidR="0070647D" w:rsidRDefault="0070647D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035E"/>
    <w:rsid w:val="00010E12"/>
    <w:rsid w:val="0003706E"/>
    <w:rsid w:val="00081F8E"/>
    <w:rsid w:val="000B44C9"/>
    <w:rsid w:val="001D3DDC"/>
    <w:rsid w:val="00245AD5"/>
    <w:rsid w:val="002914A1"/>
    <w:rsid w:val="002943B6"/>
    <w:rsid w:val="003D3A1E"/>
    <w:rsid w:val="003F50AB"/>
    <w:rsid w:val="004553D8"/>
    <w:rsid w:val="0049030F"/>
    <w:rsid w:val="004B71AD"/>
    <w:rsid w:val="004E1C8D"/>
    <w:rsid w:val="004F7AC7"/>
    <w:rsid w:val="005407CD"/>
    <w:rsid w:val="005F616D"/>
    <w:rsid w:val="00637172"/>
    <w:rsid w:val="00677116"/>
    <w:rsid w:val="00695EB8"/>
    <w:rsid w:val="00696A88"/>
    <w:rsid w:val="006C4594"/>
    <w:rsid w:val="006E4499"/>
    <w:rsid w:val="0070647D"/>
    <w:rsid w:val="0073508D"/>
    <w:rsid w:val="0080537F"/>
    <w:rsid w:val="00843C05"/>
    <w:rsid w:val="00862C0D"/>
    <w:rsid w:val="008715DA"/>
    <w:rsid w:val="00886F92"/>
    <w:rsid w:val="008E4019"/>
    <w:rsid w:val="008F69C0"/>
    <w:rsid w:val="009975F9"/>
    <w:rsid w:val="00A011EF"/>
    <w:rsid w:val="00AC0F13"/>
    <w:rsid w:val="00B62256"/>
    <w:rsid w:val="00BA7283"/>
    <w:rsid w:val="00C27E3D"/>
    <w:rsid w:val="00C56843"/>
    <w:rsid w:val="00C611EB"/>
    <w:rsid w:val="00CC001D"/>
    <w:rsid w:val="00E95BE0"/>
    <w:rsid w:val="00F1388A"/>
    <w:rsid w:val="00F17ACD"/>
    <w:rsid w:val="00F434DE"/>
    <w:rsid w:val="00F52B7C"/>
    <w:rsid w:val="00F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B533A"/>
  <w15:docId w15:val="{04CC8561-AA0C-410A-B55C-14EBFEDC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0AC2-7CBB-499D-8185-85EDFBA9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2023-09-26T08:04:00Z</cp:lastPrinted>
  <dcterms:created xsi:type="dcterms:W3CDTF">2025-04-23T19:11:00Z</dcterms:created>
  <dcterms:modified xsi:type="dcterms:W3CDTF">2025-04-23T19:11:00Z</dcterms:modified>
</cp:coreProperties>
</file>