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838" w:rsidRDefault="000B6838" w:rsidP="000B6838">
      <w:pPr>
        <w:spacing w:before="240"/>
        <w:rPr>
          <w:rFonts w:ascii="Simplified Arabic" w:hAnsi="Simplified Arabic" w:cs="Simplified Arabic"/>
          <w:b/>
          <w:bCs/>
          <w:sz w:val="28"/>
          <w:szCs w:val="28"/>
        </w:rPr>
      </w:pPr>
      <w:r>
        <w:rPr>
          <w:rFonts w:ascii="Simplified Arabic" w:hAnsi="Simplified Arabic" w:cs="Simplified Arabic"/>
          <w:b/>
          <w:bCs/>
          <w:sz w:val="28"/>
          <w:szCs w:val="28"/>
          <w:rtl/>
        </w:rPr>
        <w:t>الجمهورية اللبنانية</w:t>
      </w:r>
    </w:p>
    <w:p w:rsidR="000B6838" w:rsidRDefault="000B6838" w:rsidP="000B6838">
      <w:pPr>
        <w:spacing w:line="360" w:lineRule="auto"/>
        <w:jc w:val="lowKashida"/>
        <w:rPr>
          <w:rFonts w:ascii="Simplified Arabic" w:hAnsi="Simplified Arabic" w:cs="Simplified Arabic"/>
          <w:b/>
          <w:bCs/>
          <w:sz w:val="28"/>
          <w:szCs w:val="28"/>
          <w:rtl/>
        </w:rPr>
      </w:pPr>
      <w:r>
        <w:rPr>
          <w:rFonts w:ascii="Simplified Arabic" w:hAnsi="Simplified Arabic" w:cs="Simplified Arabic"/>
          <w:b/>
          <w:bCs/>
          <w:sz w:val="28"/>
          <w:szCs w:val="28"/>
          <w:rtl/>
        </w:rPr>
        <w:t>مصلحة استثمار مرفأ طرابلس</w:t>
      </w:r>
    </w:p>
    <w:p w:rsidR="000B6838" w:rsidRDefault="000B6838" w:rsidP="000B6838">
      <w:pPr>
        <w:ind w:left="1440" w:firstLine="720"/>
        <w:jc w:val="lowKashida"/>
        <w:rPr>
          <w:rFonts w:ascii="Simplified Arabic" w:hAnsi="Simplified Arabic" w:cs="Simplified Arabic"/>
          <w:b/>
          <w:bCs/>
          <w:sz w:val="28"/>
          <w:szCs w:val="28"/>
          <w:rtl/>
        </w:rPr>
      </w:pPr>
      <w:r>
        <w:rPr>
          <w:rFonts w:ascii="Simplified Arabic" w:hAnsi="Simplified Arabic" w:cs="Simplified Arabic"/>
          <w:b/>
          <w:bCs/>
          <w:sz w:val="28"/>
          <w:szCs w:val="28"/>
          <w:rtl/>
        </w:rPr>
        <w:t xml:space="preserve">بوليصة تأمين لتغطية الأضرار الناجمة عن الحريق والعوامل </w:t>
      </w:r>
    </w:p>
    <w:p w:rsidR="000B6838" w:rsidRDefault="000B6838" w:rsidP="000B6838">
      <w:pPr>
        <w:ind w:left="1440" w:firstLine="720"/>
        <w:jc w:val="lowKashida"/>
        <w:rPr>
          <w:rFonts w:ascii="Simplified Arabic" w:hAnsi="Simplified Arabic" w:cs="Simplified Arabic"/>
          <w:b/>
          <w:bCs/>
          <w:sz w:val="28"/>
          <w:szCs w:val="28"/>
          <w:rtl/>
        </w:rPr>
      </w:pPr>
      <w:r>
        <w:rPr>
          <w:rFonts w:ascii="Simplified Arabic" w:hAnsi="Simplified Arabic" w:cs="Simplified Arabic"/>
          <w:b/>
          <w:bCs/>
          <w:sz w:val="28"/>
          <w:szCs w:val="28"/>
          <w:rtl/>
        </w:rPr>
        <w:t>الطبيعية والإنفجارات التي ينجم عنها حريق والأضرار اللاحقة بالمنشآت</w:t>
      </w:r>
    </w:p>
    <w:p w:rsidR="000B6838" w:rsidRDefault="000B6838" w:rsidP="000B6838">
      <w:pPr>
        <w:ind w:left="1440" w:firstLine="720"/>
        <w:jc w:val="lowKashida"/>
        <w:rPr>
          <w:rFonts w:ascii="Simplified Arabic" w:hAnsi="Simplified Arabic" w:cs="Simplified Arabic"/>
          <w:b/>
          <w:bCs/>
          <w:sz w:val="28"/>
          <w:szCs w:val="28"/>
          <w:rtl/>
        </w:rPr>
      </w:pPr>
      <w:r>
        <w:rPr>
          <w:rFonts w:ascii="Simplified Arabic" w:hAnsi="Simplified Arabic" w:cs="Simplified Arabic"/>
          <w:b/>
          <w:bCs/>
          <w:sz w:val="28"/>
          <w:szCs w:val="28"/>
          <w:rtl/>
        </w:rPr>
        <w:t xml:space="preserve">           وكافة التجهيزات والمعدات التابعة للمصلحة </w:t>
      </w:r>
    </w:p>
    <w:p w:rsidR="000B6838" w:rsidRDefault="000B6838" w:rsidP="000B6838">
      <w:pPr>
        <w:spacing w:line="360" w:lineRule="auto"/>
        <w:ind w:firstLine="720"/>
        <w:jc w:val="center"/>
        <w:rPr>
          <w:rFonts w:ascii="Simplified Arabic" w:hAnsi="Simplified Arabic" w:cs="Simplified Arabic"/>
          <w:b/>
          <w:bCs/>
          <w:sz w:val="28"/>
          <w:szCs w:val="28"/>
          <w:rtl/>
        </w:rPr>
      </w:pPr>
    </w:p>
    <w:p w:rsidR="000B6838" w:rsidRDefault="000B6838" w:rsidP="000B6838">
      <w:pPr>
        <w:spacing w:line="360" w:lineRule="auto"/>
        <w:rPr>
          <w:rFonts w:ascii="Simplified Arabic" w:hAnsi="Simplified Arabic" w:cs="Simplified Arabic"/>
          <w:b/>
          <w:bCs/>
          <w:sz w:val="28"/>
          <w:szCs w:val="28"/>
          <w:u w:val="single"/>
          <w:rtl/>
        </w:rPr>
      </w:pPr>
      <w:r>
        <w:rPr>
          <w:rFonts w:ascii="Simplified Arabic" w:hAnsi="Simplified Arabic" w:cs="Simplified Arabic"/>
          <w:b/>
          <w:bCs/>
          <w:sz w:val="28"/>
          <w:szCs w:val="28"/>
          <w:u w:val="single"/>
          <w:rtl/>
        </w:rPr>
        <w:t xml:space="preserve">الضامن : </w:t>
      </w:r>
      <w:r>
        <w:rPr>
          <w:rFonts w:ascii="Simplified Arabic" w:hAnsi="Simplified Arabic" w:cs="Simplified Arabic"/>
          <w:sz w:val="28"/>
          <w:szCs w:val="28"/>
          <w:rtl/>
        </w:rPr>
        <w:t xml:space="preserve">  </w:t>
      </w:r>
    </w:p>
    <w:p w:rsidR="000B6838" w:rsidRDefault="000B6838" w:rsidP="000B6838">
      <w:pPr>
        <w:spacing w:line="360" w:lineRule="auto"/>
        <w:rPr>
          <w:rFonts w:cs="Simplified Arabic"/>
          <w:b/>
          <w:bCs/>
          <w:sz w:val="28"/>
          <w:szCs w:val="28"/>
          <w:rtl/>
        </w:rPr>
      </w:pPr>
      <w:r>
        <w:rPr>
          <w:rFonts w:ascii="Simplified Arabic" w:hAnsi="Simplified Arabic" w:cs="Simplified Arabic"/>
          <w:b/>
          <w:bCs/>
          <w:sz w:val="28"/>
          <w:szCs w:val="28"/>
          <w:u w:val="single"/>
          <w:rtl/>
        </w:rPr>
        <w:t>المضمون :</w:t>
      </w:r>
      <w:r>
        <w:rPr>
          <w:rFonts w:ascii="Simplified Arabic" w:hAnsi="Simplified Arabic" w:cs="Simplified Arabic"/>
          <w:b/>
          <w:bCs/>
          <w:sz w:val="28"/>
          <w:szCs w:val="28"/>
          <w:rtl/>
        </w:rPr>
        <w:t xml:space="preserve">        مصلحة استثمار مرفأ طرابلس .</w:t>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r>
      <w:r>
        <w:rPr>
          <w:rFonts w:cs="Simplified Arabic"/>
          <w:sz w:val="28"/>
          <w:szCs w:val="28"/>
          <w:rtl/>
        </w:rPr>
        <w:tab/>
        <w:t xml:space="preserve">                         </w:t>
      </w:r>
      <w:r>
        <w:rPr>
          <w:rFonts w:cs="Simplified Arabic"/>
          <w:b/>
          <w:bCs/>
          <w:sz w:val="28"/>
          <w:szCs w:val="28"/>
          <w:rtl/>
        </w:rPr>
        <w:t xml:space="preserve">بوليصة رقم 3 </w:t>
      </w:r>
    </w:p>
    <w:p w:rsidR="000B6838" w:rsidRDefault="000B6838" w:rsidP="000B6838">
      <w:pPr>
        <w:rPr>
          <w:rFonts w:cs="Simplified Arabic"/>
          <w:b/>
          <w:bCs/>
          <w:sz w:val="28"/>
          <w:szCs w:val="28"/>
          <w:u w:val="single"/>
          <w:rtl/>
        </w:rPr>
      </w:pPr>
      <w:r>
        <w:rPr>
          <w:rFonts w:cs="Simplified Arabic"/>
          <w:b/>
          <w:bCs/>
          <w:sz w:val="28"/>
          <w:szCs w:val="28"/>
          <w:u w:val="single"/>
          <w:rtl/>
        </w:rPr>
        <w:t>المادة الأولى :</w:t>
      </w:r>
    </w:p>
    <w:p w:rsidR="000B6838" w:rsidRDefault="000B6838" w:rsidP="000B6838">
      <w:pPr>
        <w:jc w:val="lowKashida"/>
        <w:rPr>
          <w:rFonts w:cs="Simplified Arabic"/>
          <w:sz w:val="28"/>
          <w:szCs w:val="28"/>
          <w:rtl/>
        </w:rPr>
      </w:pPr>
      <w:r>
        <w:rPr>
          <w:rFonts w:cs="Simplified Arabic"/>
          <w:sz w:val="28"/>
          <w:szCs w:val="28"/>
          <w:rtl/>
        </w:rPr>
        <w:t>إن الضامن يغطي ممتلكات المصلحة من منشآت وأثاث وأجهزة ضد أي خسارة أو تلف أو ضرر ناتج عن :</w:t>
      </w:r>
    </w:p>
    <w:p w:rsidR="000B6838" w:rsidRDefault="000B6838" w:rsidP="000B6838">
      <w:pPr>
        <w:jc w:val="lowKashida"/>
        <w:rPr>
          <w:rFonts w:cs="Simplified Arabic"/>
          <w:sz w:val="28"/>
          <w:szCs w:val="28"/>
          <w:rtl/>
        </w:rPr>
      </w:pPr>
    </w:p>
    <w:p w:rsidR="000B6838" w:rsidRDefault="000B6838" w:rsidP="000B6838">
      <w:pPr>
        <w:numPr>
          <w:ilvl w:val="0"/>
          <w:numId w:val="1"/>
        </w:numPr>
        <w:jc w:val="lowKashida"/>
        <w:rPr>
          <w:rFonts w:cs="Simplified Arabic"/>
          <w:sz w:val="28"/>
          <w:szCs w:val="28"/>
          <w:rtl/>
        </w:rPr>
      </w:pPr>
      <w:r>
        <w:rPr>
          <w:rFonts w:cs="Simplified Arabic"/>
          <w:sz w:val="28"/>
          <w:szCs w:val="28"/>
          <w:rtl/>
        </w:rPr>
        <w:t xml:space="preserve">حريق مهما كان نوعه أو أسبابهِ بما فيها الأذى التعمدي ، انفجار وإن لم ينجم عنه حريق ، صواعق ، سقوط آلات الملاحة الجوية أو خزاناتها . </w:t>
      </w:r>
    </w:p>
    <w:p w:rsidR="000B6838" w:rsidRDefault="000B6838" w:rsidP="000B6838">
      <w:pPr>
        <w:numPr>
          <w:ilvl w:val="0"/>
          <w:numId w:val="1"/>
        </w:numPr>
        <w:jc w:val="lowKashida"/>
        <w:rPr>
          <w:rFonts w:cs="Simplified Arabic"/>
          <w:sz w:val="28"/>
          <w:szCs w:val="28"/>
        </w:rPr>
      </w:pPr>
      <w:r>
        <w:rPr>
          <w:rFonts w:cs="Simplified Arabic"/>
          <w:sz w:val="28"/>
          <w:szCs w:val="28"/>
          <w:rtl/>
        </w:rPr>
        <w:t>عوامل طبيعية: الزلزال  ، الطوفان ، المد الجارف ، السيول ومياه الأمطار، العصف والأعاصير ، العواصف البحرية، تسرب مياه الأمطار الى داخل العنابر.</w:t>
      </w:r>
    </w:p>
    <w:p w:rsidR="000B6838" w:rsidRDefault="000B6838" w:rsidP="000B6838">
      <w:pPr>
        <w:numPr>
          <w:ilvl w:val="0"/>
          <w:numId w:val="1"/>
        </w:numPr>
        <w:jc w:val="lowKashida"/>
        <w:rPr>
          <w:rFonts w:cs="Arabic Transparent"/>
          <w:sz w:val="28"/>
          <w:szCs w:val="28"/>
        </w:rPr>
      </w:pPr>
      <w:r>
        <w:rPr>
          <w:rFonts w:cs="Arabic Transparent"/>
          <w:sz w:val="28"/>
          <w:szCs w:val="28"/>
          <w:rtl/>
        </w:rPr>
        <w:t xml:space="preserve">( أ ) - أضرار المياه من تمديدات مائية ، قساطل بما فيها الصدأة منها، مياه الصرف والمجارير وخزانات المياه. </w:t>
      </w:r>
    </w:p>
    <w:p w:rsidR="000B6838" w:rsidRDefault="000B6838" w:rsidP="000B6838">
      <w:pPr>
        <w:ind w:left="720"/>
        <w:jc w:val="lowKashida"/>
        <w:rPr>
          <w:rFonts w:cs="Arabic Transparent"/>
          <w:sz w:val="28"/>
          <w:szCs w:val="28"/>
        </w:rPr>
      </w:pPr>
      <w:r>
        <w:rPr>
          <w:rFonts w:cs="Arabic Transparent"/>
          <w:sz w:val="28"/>
          <w:szCs w:val="28"/>
          <w:rtl/>
        </w:rPr>
        <w:t xml:space="preserve">( ب ) – خلافاً لأي نص آخر، فإن الشركة الضامنة ستغطي كافة اضرار المياه الناتجة عن إنفجار مواسير الماء وطوفان الخزانات وجهاز تصريف الماء مهما بلغت قيمتها.  </w:t>
      </w:r>
    </w:p>
    <w:p w:rsidR="000B6838" w:rsidRDefault="000B6838" w:rsidP="000B6838">
      <w:pPr>
        <w:numPr>
          <w:ilvl w:val="0"/>
          <w:numId w:val="1"/>
        </w:numPr>
        <w:spacing w:after="240"/>
        <w:jc w:val="lowKashida"/>
        <w:rPr>
          <w:rFonts w:cs="Simplified Arabic"/>
          <w:sz w:val="28"/>
          <w:szCs w:val="28"/>
          <w:rtl/>
        </w:rPr>
      </w:pPr>
      <w:r>
        <w:rPr>
          <w:rFonts w:cs="Simplified Arabic"/>
          <w:sz w:val="28"/>
          <w:szCs w:val="28"/>
          <w:rtl/>
        </w:rPr>
        <w:t xml:space="preserve">الضرر أو التلف اللاحق بممتلكات المصلحة من ماكينات كهربائية ومولدات طاقة مهما كان سبب هذا الضرر أو التلف، بما فيها الحريق الناتج عن ارتفاع أو انخفاض أو تلاعب في التيار الكهربائي أو في حدة التوتر. </w:t>
      </w:r>
    </w:p>
    <w:p w:rsidR="000B6838" w:rsidRDefault="000B6838" w:rsidP="000B6838">
      <w:pPr>
        <w:numPr>
          <w:ilvl w:val="0"/>
          <w:numId w:val="1"/>
        </w:numPr>
        <w:spacing w:after="240"/>
        <w:jc w:val="lowKashida"/>
        <w:rPr>
          <w:rFonts w:cs="Arabic Transparent"/>
          <w:sz w:val="28"/>
          <w:szCs w:val="28"/>
        </w:rPr>
      </w:pPr>
      <w:r>
        <w:rPr>
          <w:rFonts w:cs="Arabic Transparent"/>
          <w:sz w:val="28"/>
          <w:szCs w:val="28"/>
          <w:rtl/>
        </w:rPr>
        <w:t xml:space="preserve">الشركة الضامنة ستغطي كافة الأضرار الناجمة عن الألعاب النارية ، وذلك مهما بلغت قيمتها مع مراعاة الحد الأقصى المنصوص عنه في المادة الرابعة من هذه البوليصة .   </w:t>
      </w:r>
    </w:p>
    <w:p w:rsidR="000B6838" w:rsidRDefault="000B6838" w:rsidP="000B6838">
      <w:pPr>
        <w:ind w:left="3600"/>
        <w:jc w:val="lowKashida"/>
        <w:rPr>
          <w:rFonts w:cs="Arabic Transparent"/>
          <w:b/>
          <w:bCs/>
          <w:sz w:val="18"/>
          <w:szCs w:val="18"/>
          <w:u w:val="single"/>
        </w:rPr>
      </w:pPr>
    </w:p>
    <w:p w:rsidR="000B6838" w:rsidRDefault="000B6838" w:rsidP="000B6838">
      <w:pPr>
        <w:jc w:val="both"/>
        <w:rPr>
          <w:rFonts w:cs="Simplified Arabic"/>
          <w:b/>
          <w:bCs/>
          <w:sz w:val="28"/>
          <w:szCs w:val="28"/>
          <w:u w:val="single"/>
          <w:rtl/>
        </w:rPr>
      </w:pPr>
    </w:p>
    <w:p w:rsidR="000B6838" w:rsidRDefault="000B6838" w:rsidP="000B6838">
      <w:pPr>
        <w:jc w:val="both"/>
        <w:rPr>
          <w:rFonts w:cs="Simplified Arabic"/>
          <w:b/>
          <w:bCs/>
          <w:sz w:val="28"/>
          <w:szCs w:val="28"/>
          <w:u w:val="single"/>
          <w:rtl/>
        </w:rPr>
      </w:pPr>
    </w:p>
    <w:p w:rsidR="000B6838" w:rsidRDefault="000B6838" w:rsidP="000B6838">
      <w:pPr>
        <w:jc w:val="both"/>
        <w:rPr>
          <w:rFonts w:cs="Simplified Arabic"/>
          <w:b/>
          <w:bCs/>
          <w:sz w:val="28"/>
          <w:szCs w:val="28"/>
          <w:u w:val="single"/>
          <w:rtl/>
        </w:rPr>
      </w:pPr>
    </w:p>
    <w:p w:rsidR="000B6838" w:rsidRDefault="000B6838" w:rsidP="000B6838">
      <w:pPr>
        <w:jc w:val="both"/>
        <w:rPr>
          <w:rFonts w:cs="Simplified Arabic"/>
          <w:b/>
          <w:bCs/>
          <w:sz w:val="28"/>
          <w:szCs w:val="28"/>
          <w:u w:val="single"/>
          <w:rtl/>
        </w:rPr>
      </w:pPr>
    </w:p>
    <w:p w:rsidR="000B6838" w:rsidRDefault="000B6838" w:rsidP="000B6838">
      <w:pPr>
        <w:jc w:val="both"/>
        <w:rPr>
          <w:rFonts w:cs="Simplified Arabic"/>
          <w:b/>
          <w:bCs/>
          <w:sz w:val="28"/>
          <w:szCs w:val="28"/>
          <w:u w:val="single"/>
          <w:rtl/>
        </w:rPr>
      </w:pPr>
    </w:p>
    <w:p w:rsidR="000B6838" w:rsidRDefault="000B6838" w:rsidP="000B6838">
      <w:pPr>
        <w:jc w:val="both"/>
        <w:rPr>
          <w:rFonts w:cs="Simplified Arabic"/>
          <w:sz w:val="28"/>
          <w:szCs w:val="28"/>
          <w:rtl/>
        </w:rPr>
      </w:pPr>
      <w:r>
        <w:rPr>
          <w:rFonts w:cs="Simplified Arabic"/>
          <w:b/>
          <w:bCs/>
          <w:sz w:val="28"/>
          <w:szCs w:val="28"/>
          <w:u w:val="single"/>
          <w:rtl/>
        </w:rPr>
        <w:t xml:space="preserve">المادة الثانية : </w:t>
      </w:r>
      <w:r>
        <w:rPr>
          <w:rFonts w:cs="Simplified Arabic"/>
          <w:sz w:val="28"/>
          <w:szCs w:val="28"/>
          <w:rtl/>
        </w:rPr>
        <w:t xml:space="preserve">إن هذه البوليصة تغطي جميع أنواع البضائع الموجودة في حرم المرفأ ضد أي خسارة أو تلف أو ضرر ناتج عن أي سبب من الأسباب المذكورة في المادة الأولى من هذه البوليصة بما فيها الضرر التعمدي .  </w:t>
      </w:r>
    </w:p>
    <w:p w:rsidR="000B6838" w:rsidRDefault="000B6838" w:rsidP="000B6838">
      <w:pPr>
        <w:ind w:firstLine="720"/>
        <w:jc w:val="both"/>
        <w:rPr>
          <w:rFonts w:cs="Simplified Arabic"/>
          <w:sz w:val="28"/>
          <w:szCs w:val="28"/>
          <w:rtl/>
        </w:rPr>
      </w:pPr>
      <w:r>
        <w:rPr>
          <w:rFonts w:cs="Simplified Arabic"/>
          <w:sz w:val="28"/>
          <w:szCs w:val="28"/>
          <w:rtl/>
        </w:rPr>
        <w:t xml:space="preserve">يشمل هذا الضمان جميع أنواع البضائع الموجودة في حرم المرفأ مهما كان نوعها أو وجهتها سواء كانت للخزن التجاري او للإستهلاك المحلي او الترانزيت أو ما الى ذلك التي هي تحت عهدة المصلحة. </w:t>
      </w:r>
    </w:p>
    <w:p w:rsidR="000B6838" w:rsidRDefault="000B6838" w:rsidP="000B6838">
      <w:pPr>
        <w:jc w:val="both"/>
        <w:rPr>
          <w:rFonts w:cs="Simplified Arabic"/>
          <w:sz w:val="28"/>
          <w:szCs w:val="28"/>
          <w:rtl/>
        </w:rPr>
      </w:pPr>
      <w:r>
        <w:rPr>
          <w:rFonts w:cs="Simplified Arabic"/>
          <w:sz w:val="28"/>
          <w:szCs w:val="28"/>
          <w:rtl/>
        </w:rPr>
        <w:tab/>
        <w:t xml:space="preserve">كما تغطي هذه البوليصة كافة الإنشاءآت والتجهيزات العائدة للمضمونة ضدّ المخاطر المنصوص عنها في المادة الأولى أعلاه. </w:t>
      </w:r>
    </w:p>
    <w:p w:rsidR="000B6838" w:rsidRDefault="000B6838" w:rsidP="000B6838">
      <w:pPr>
        <w:jc w:val="both"/>
        <w:rPr>
          <w:rFonts w:cs="Simplified Arabic"/>
          <w:b/>
          <w:bCs/>
          <w:sz w:val="16"/>
          <w:szCs w:val="16"/>
          <w:u w:val="single"/>
          <w:rtl/>
        </w:rPr>
      </w:pPr>
      <w:r>
        <w:rPr>
          <w:rFonts w:cs="Simplified Arabic"/>
          <w:sz w:val="28"/>
          <w:szCs w:val="28"/>
          <w:rtl/>
        </w:rPr>
        <w:tab/>
        <w:t xml:space="preserve">كما تغطي هذه البوليصة الأضرار الناتجة عن انهيار أو تصدّع المستودعات كلياً أو جزئياً بسبب ضغط البضاعة الموجودة بداخلها.  </w:t>
      </w:r>
    </w:p>
    <w:p w:rsidR="000B6838" w:rsidRDefault="000B6838" w:rsidP="000B6838">
      <w:pPr>
        <w:rPr>
          <w:rFonts w:cs="Simplified Arabic"/>
          <w:b/>
          <w:bCs/>
          <w:sz w:val="16"/>
          <w:szCs w:val="16"/>
          <w:u w:val="single"/>
          <w:rtl/>
        </w:rPr>
      </w:pPr>
    </w:p>
    <w:p w:rsidR="000B6838" w:rsidRDefault="000B6838" w:rsidP="000B6838">
      <w:pPr>
        <w:rPr>
          <w:rFonts w:cs="Simplified Arabic"/>
          <w:b/>
          <w:bCs/>
          <w:sz w:val="28"/>
          <w:szCs w:val="28"/>
          <w:u w:val="single"/>
          <w:rtl/>
        </w:rPr>
      </w:pPr>
      <w:r>
        <w:rPr>
          <w:rFonts w:cs="Simplified Arabic"/>
          <w:b/>
          <w:bCs/>
          <w:sz w:val="28"/>
          <w:szCs w:val="28"/>
          <w:u w:val="single"/>
          <w:rtl/>
        </w:rPr>
        <w:t>المادة الثالثة :</w:t>
      </w:r>
    </w:p>
    <w:p w:rsidR="000B6838" w:rsidRDefault="000B6838" w:rsidP="000B6838">
      <w:pPr>
        <w:ind w:firstLine="720"/>
        <w:jc w:val="lowKashida"/>
        <w:rPr>
          <w:rFonts w:cs="Simplified Arabic"/>
          <w:sz w:val="28"/>
          <w:szCs w:val="28"/>
          <w:rtl/>
        </w:rPr>
      </w:pPr>
      <w:r>
        <w:rPr>
          <w:rFonts w:cs="Simplified Arabic"/>
          <w:sz w:val="28"/>
          <w:szCs w:val="28"/>
          <w:rtl/>
        </w:rPr>
        <w:t>تعتمد المنفستات الجمركية من أجل تحديد قيمة الأضرار، وتعتمد الفواتير الرسمية في تقدير قيمة التجهيزات ، أما الأضرار اللاحقة بالمنشأة فيتم تخمينها بواسطة اللجنة المؤلفة لهذه الغاية والمنصوص عنها في المادة السابعة السابق ذكرها .</w:t>
      </w:r>
    </w:p>
    <w:p w:rsidR="000B6838" w:rsidRDefault="000B6838" w:rsidP="000B6838">
      <w:pPr>
        <w:rPr>
          <w:rFonts w:cs="Simplified Arabic"/>
          <w:sz w:val="16"/>
          <w:szCs w:val="16"/>
          <w:rtl/>
        </w:rPr>
      </w:pPr>
    </w:p>
    <w:p w:rsidR="000B6838" w:rsidRDefault="000B6838" w:rsidP="000B6838">
      <w:pPr>
        <w:rPr>
          <w:rFonts w:cs="Simplified Arabic"/>
          <w:b/>
          <w:bCs/>
          <w:sz w:val="28"/>
          <w:szCs w:val="28"/>
          <w:u w:val="single"/>
          <w:rtl/>
        </w:rPr>
      </w:pPr>
      <w:r>
        <w:rPr>
          <w:rFonts w:cs="Simplified Arabic"/>
          <w:b/>
          <w:bCs/>
          <w:sz w:val="28"/>
          <w:szCs w:val="28"/>
          <w:u w:val="single"/>
          <w:rtl/>
        </w:rPr>
        <w:t>المادة الرابعة :</w:t>
      </w:r>
    </w:p>
    <w:p w:rsidR="000B6838" w:rsidRDefault="000B6838" w:rsidP="000B6838">
      <w:pPr>
        <w:ind w:left="360"/>
        <w:jc w:val="both"/>
        <w:rPr>
          <w:rFonts w:cs="Simplified Arabic"/>
          <w:sz w:val="28"/>
          <w:szCs w:val="28"/>
          <w:rtl/>
        </w:rPr>
      </w:pPr>
      <w:r>
        <w:rPr>
          <w:rFonts w:cs="Simplified Arabic"/>
          <w:sz w:val="28"/>
          <w:szCs w:val="28"/>
          <w:rtl/>
        </w:rPr>
        <w:t xml:space="preserve">الحد الأقصى للتعويضات في هذه البوليصة هو ثلاثة ملايين ومائتي ألف دولار أميركي تشمل كافة الأخطار المذكورة في المادة الأولى من هذه البوليصة، ويحق للمضمونة أن تعيد قيمة الضمان بحده الأقصى المذكور، كلما نقص هذا الحد أو استنفذ وفقاً لشروط العقد، وذلك لما تبقى من السنة التعاقدية . </w:t>
      </w:r>
    </w:p>
    <w:p w:rsidR="000B6838" w:rsidRDefault="000B6838" w:rsidP="000B6838">
      <w:pPr>
        <w:ind w:left="360"/>
        <w:jc w:val="both"/>
        <w:rPr>
          <w:rFonts w:cs="Simplified Arabic"/>
          <w:sz w:val="28"/>
          <w:szCs w:val="28"/>
          <w:rtl/>
        </w:rPr>
      </w:pPr>
      <w:r>
        <w:rPr>
          <w:rFonts w:cs="Simplified Arabic"/>
          <w:sz w:val="28"/>
          <w:szCs w:val="28"/>
          <w:rtl/>
        </w:rPr>
        <w:t>قيمة التأمين مقسمة كالآتي :</w:t>
      </w:r>
    </w:p>
    <w:p w:rsidR="000B6838" w:rsidRDefault="000B6838" w:rsidP="000B6838">
      <w:pPr>
        <w:ind w:left="360"/>
        <w:jc w:val="both"/>
        <w:rPr>
          <w:rFonts w:cs="Simplified Arabic"/>
          <w:sz w:val="28"/>
          <w:szCs w:val="28"/>
          <w:rtl/>
        </w:rPr>
      </w:pPr>
      <w:r>
        <w:rPr>
          <w:rFonts w:cs="Simplified Arabic"/>
          <w:sz w:val="28"/>
          <w:szCs w:val="28"/>
          <w:rtl/>
        </w:rPr>
        <w:t>-   المنشآت والأثاث التابعة للمصلحة : مليون دولار أميركي  000 000 1 د.أ (فقط مليون دولار أميركي لا غير ) (حسب تغطيات المادة الأولى).</w:t>
      </w:r>
    </w:p>
    <w:p w:rsidR="000B6838" w:rsidRDefault="000B6838" w:rsidP="000B6838">
      <w:pPr>
        <w:ind w:left="360"/>
        <w:jc w:val="both"/>
        <w:rPr>
          <w:rFonts w:cs="Simplified Arabic"/>
          <w:sz w:val="28"/>
          <w:szCs w:val="28"/>
          <w:rtl/>
        </w:rPr>
      </w:pPr>
      <w:r>
        <w:rPr>
          <w:rFonts w:cs="Simplified Arabic"/>
          <w:sz w:val="28"/>
          <w:szCs w:val="28"/>
          <w:rtl/>
        </w:rPr>
        <w:lastRenderedPageBreak/>
        <w:t xml:space="preserve">الأجهزة التابعة للمصلحة : مليون دولار أميركي 000 000 1د.أ (فقط مليون دولار أميركي لا غير) (حسب تغطيات المادة الأولى). </w:t>
      </w:r>
    </w:p>
    <w:p w:rsidR="000B6838" w:rsidRDefault="000B6838" w:rsidP="000B6838">
      <w:pPr>
        <w:ind w:left="360"/>
        <w:jc w:val="both"/>
        <w:rPr>
          <w:rFonts w:cs="Simplified Arabic"/>
          <w:sz w:val="28"/>
          <w:szCs w:val="28"/>
          <w:rtl/>
        </w:rPr>
      </w:pPr>
    </w:p>
    <w:p w:rsidR="000B6838" w:rsidRDefault="000B6838" w:rsidP="000B6838">
      <w:pPr>
        <w:ind w:left="360"/>
        <w:jc w:val="both"/>
        <w:rPr>
          <w:rFonts w:cs="Simplified Arabic"/>
          <w:sz w:val="28"/>
          <w:szCs w:val="28"/>
          <w:rtl/>
        </w:rPr>
      </w:pPr>
      <w:r>
        <w:rPr>
          <w:rFonts w:cs="Simplified Arabic"/>
          <w:sz w:val="28"/>
          <w:szCs w:val="28"/>
          <w:rtl/>
        </w:rPr>
        <w:t xml:space="preserve">- البضائع الموجودة في المنشآت وحقوق الغير : مليون دولار أميركي 000 000 1 د.أ (فقط مليون دولار أميركي لا غير) (حسب تغطيات المادة الثانية)، ولا تطبق القاعدة النسبية في هذا البند. </w:t>
      </w:r>
    </w:p>
    <w:p w:rsidR="000B6838" w:rsidRDefault="000B6838" w:rsidP="000B6838">
      <w:pPr>
        <w:ind w:left="360"/>
        <w:jc w:val="both"/>
        <w:rPr>
          <w:rFonts w:cs="Simplified Arabic"/>
          <w:sz w:val="28"/>
          <w:szCs w:val="28"/>
          <w:rtl/>
        </w:rPr>
      </w:pPr>
      <w:r>
        <w:rPr>
          <w:rFonts w:cs="Simplified Arabic"/>
          <w:sz w:val="28"/>
          <w:szCs w:val="28"/>
          <w:rtl/>
        </w:rPr>
        <w:t>- إزالة الركام بحد أقصى قدره /000 100/ د.أ (فقط مئة ألف دولار أميركي).</w:t>
      </w:r>
    </w:p>
    <w:p w:rsidR="000B6838" w:rsidRDefault="000B6838" w:rsidP="000B6838">
      <w:pPr>
        <w:ind w:left="360"/>
        <w:jc w:val="both"/>
        <w:rPr>
          <w:rFonts w:cs="Simplified Arabic"/>
          <w:sz w:val="28"/>
          <w:szCs w:val="28"/>
          <w:rtl/>
        </w:rPr>
      </w:pPr>
      <w:r>
        <w:rPr>
          <w:rFonts w:cs="Simplified Arabic"/>
          <w:sz w:val="28"/>
          <w:szCs w:val="28"/>
          <w:rtl/>
        </w:rPr>
        <w:t xml:space="preserve">- أجور المهندسين والخبراء بحد أقصى قدره /000 100/ د.أ (فقط مئة ألف دولار أميركي ) . </w:t>
      </w:r>
    </w:p>
    <w:p w:rsidR="000B6838" w:rsidRDefault="000B6838" w:rsidP="000B6838">
      <w:pPr>
        <w:rPr>
          <w:rFonts w:cs="Simplified Arabic"/>
          <w:sz w:val="28"/>
          <w:szCs w:val="28"/>
          <w:rtl/>
        </w:rPr>
      </w:pPr>
    </w:p>
    <w:p w:rsidR="000B6838" w:rsidRDefault="000B6838" w:rsidP="000B6838">
      <w:pPr>
        <w:rPr>
          <w:rFonts w:cs="Simplified Arabic"/>
          <w:b/>
          <w:bCs/>
          <w:sz w:val="28"/>
          <w:szCs w:val="28"/>
          <w:u w:val="single"/>
          <w:rtl/>
        </w:rPr>
      </w:pPr>
    </w:p>
    <w:p w:rsidR="000B6838" w:rsidRDefault="000B6838" w:rsidP="000B6838">
      <w:pPr>
        <w:rPr>
          <w:rFonts w:cs="Simplified Arabic"/>
          <w:b/>
          <w:bCs/>
          <w:sz w:val="28"/>
          <w:szCs w:val="28"/>
          <w:u w:val="single"/>
          <w:rtl/>
        </w:rPr>
      </w:pPr>
      <w:r>
        <w:rPr>
          <w:rFonts w:cs="Simplified Arabic"/>
          <w:b/>
          <w:bCs/>
          <w:sz w:val="28"/>
          <w:szCs w:val="28"/>
          <w:u w:val="single"/>
          <w:rtl/>
        </w:rPr>
        <w:t xml:space="preserve">المادة الخامسة : </w:t>
      </w:r>
    </w:p>
    <w:p w:rsidR="000B6838" w:rsidRDefault="000B6838" w:rsidP="000B6838">
      <w:pPr>
        <w:jc w:val="lowKashida"/>
        <w:rPr>
          <w:rFonts w:cs="Simplified Arabic"/>
          <w:sz w:val="28"/>
          <w:szCs w:val="28"/>
          <w:rtl/>
        </w:rPr>
      </w:pPr>
      <w:r>
        <w:rPr>
          <w:rFonts w:cs="Simplified Arabic"/>
          <w:sz w:val="28"/>
          <w:szCs w:val="28"/>
          <w:rtl/>
        </w:rPr>
        <w:t xml:space="preserve">للمضمونة أن تتقدم بكشوفها خلال ستة أشهر من وقوع الحادث، وعلى الضامن تصفية تعويضات الحادث خلال مدة ثلاثون يوماً من تقديم الكشوفات دفعة واحدة، تسلم لمصلحة استثمار مرفأ طرابلس. </w:t>
      </w:r>
    </w:p>
    <w:p w:rsidR="000B6838" w:rsidRDefault="000B6838" w:rsidP="000B6838">
      <w:pPr>
        <w:rPr>
          <w:rFonts w:cs="Simplified Arabic"/>
          <w:sz w:val="28"/>
          <w:szCs w:val="28"/>
          <w:rtl/>
        </w:rPr>
      </w:pPr>
    </w:p>
    <w:p w:rsidR="000B6838" w:rsidRDefault="000B6838" w:rsidP="000B6838">
      <w:pPr>
        <w:jc w:val="lowKashida"/>
        <w:rPr>
          <w:rFonts w:cs="Simplified Arabic"/>
          <w:b/>
          <w:bCs/>
          <w:sz w:val="28"/>
          <w:szCs w:val="28"/>
          <w:u w:val="single"/>
          <w:rtl/>
        </w:rPr>
      </w:pPr>
      <w:r>
        <w:rPr>
          <w:rFonts w:cs="Simplified Arabic"/>
          <w:b/>
          <w:bCs/>
          <w:sz w:val="28"/>
          <w:szCs w:val="28"/>
          <w:u w:val="single"/>
          <w:rtl/>
        </w:rPr>
        <w:t>المادة السادسة :</w:t>
      </w:r>
    </w:p>
    <w:p w:rsidR="000B6838" w:rsidRDefault="000B6838" w:rsidP="000B6838">
      <w:pPr>
        <w:ind w:left="360"/>
        <w:jc w:val="lowKashida"/>
        <w:rPr>
          <w:rFonts w:cs="Simplified Arabic"/>
          <w:sz w:val="28"/>
          <w:szCs w:val="28"/>
          <w:rtl/>
        </w:rPr>
      </w:pPr>
      <w:r>
        <w:rPr>
          <w:rFonts w:cs="Simplified Arabic"/>
          <w:sz w:val="28"/>
          <w:szCs w:val="28"/>
          <w:rtl/>
        </w:rPr>
        <w:t>إتفق الفريقان على ما يلي :</w:t>
      </w:r>
    </w:p>
    <w:p w:rsidR="000B6838" w:rsidRDefault="000B6838" w:rsidP="000B6838">
      <w:pPr>
        <w:ind w:left="360"/>
        <w:jc w:val="lowKashida"/>
        <w:rPr>
          <w:rFonts w:cs="Simplified Arabic"/>
          <w:sz w:val="28"/>
          <w:szCs w:val="28"/>
          <w:rtl/>
        </w:rPr>
      </w:pPr>
      <w:r>
        <w:rPr>
          <w:rFonts w:cs="Simplified Arabic"/>
          <w:sz w:val="28"/>
          <w:szCs w:val="28"/>
          <w:rtl/>
        </w:rPr>
        <w:t>أ – إن ممتلكات الموظفين لدى المصلحة والموجودة في البناء المؤمن مشمولة بهذا العقد.</w:t>
      </w:r>
    </w:p>
    <w:p w:rsidR="000B6838" w:rsidRDefault="000B6838" w:rsidP="000B6838">
      <w:pPr>
        <w:ind w:left="360"/>
        <w:jc w:val="lowKashida"/>
        <w:rPr>
          <w:rFonts w:cs="Simplified Arabic"/>
          <w:sz w:val="28"/>
          <w:szCs w:val="28"/>
          <w:rtl/>
        </w:rPr>
      </w:pPr>
      <w:r>
        <w:rPr>
          <w:rFonts w:cs="Simplified Arabic"/>
          <w:sz w:val="28"/>
          <w:szCs w:val="28"/>
          <w:rtl/>
        </w:rPr>
        <w:t>ب – إن القيمة الحقيقية للضرر تحتسب وقت حدوثه مهما كانت قيمة الأشياء المتضررة سواء قبل الحادث أو بعده .</w:t>
      </w:r>
    </w:p>
    <w:p w:rsidR="000B6838" w:rsidRDefault="000B6838" w:rsidP="000B6838">
      <w:pPr>
        <w:ind w:left="360"/>
        <w:jc w:val="lowKashida"/>
        <w:rPr>
          <w:rFonts w:cs="Simplified Arabic"/>
          <w:sz w:val="28"/>
          <w:szCs w:val="28"/>
          <w:rtl/>
        </w:rPr>
      </w:pPr>
      <w:r>
        <w:rPr>
          <w:rFonts w:cs="Simplified Arabic"/>
          <w:sz w:val="28"/>
          <w:szCs w:val="28"/>
          <w:rtl/>
        </w:rPr>
        <w:t>ج – إن أي تعويضات تستحق للجوار بسبب حوادث مغطاة بموجب هذه البوليصة ، تعتبر مشمولة في هذا الضمان بحد أقصى قدره /000 500 / ( خمسمائة ألف ) دولار أميركي.</w:t>
      </w:r>
    </w:p>
    <w:p w:rsidR="000B6838" w:rsidRDefault="000B6838" w:rsidP="000B6838">
      <w:pPr>
        <w:ind w:left="360"/>
        <w:jc w:val="lowKashida"/>
        <w:rPr>
          <w:rFonts w:cs="Simplified Arabic"/>
          <w:sz w:val="28"/>
          <w:szCs w:val="28"/>
          <w:rtl/>
        </w:rPr>
      </w:pPr>
    </w:p>
    <w:p w:rsidR="00A234AE" w:rsidRDefault="00A234AE">
      <w:pPr>
        <w:rPr>
          <w:rFonts w:hint="cs"/>
          <w:lang w:bidi="ar-LB"/>
        </w:rPr>
      </w:pPr>
      <w:bookmarkStart w:id="0" w:name="_GoBack"/>
      <w:bookmarkEnd w:id="0"/>
    </w:p>
    <w:sectPr w:rsidR="00A23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7915BC"/>
    <w:multiLevelType w:val="hybridMultilevel"/>
    <w:tmpl w:val="A3FA3A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38"/>
    <w:rsid w:val="000B6838"/>
    <w:rsid w:val="0059705A"/>
    <w:rsid w:val="00760BAF"/>
    <w:rsid w:val="00A23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3A504-7A4E-4269-A1B3-9A7C1ABC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838"/>
    <w:pPr>
      <w:bidi/>
    </w:pPr>
    <w:rPr>
      <w:rFonts w:cs="Traditional Arabic"/>
      <w:noProof/>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noProof w:val="0"/>
      <w:sz w:val="28"/>
      <w:szCs w:val="28"/>
    </w:rPr>
  </w:style>
  <w:style w:type="paragraph" w:styleId="Heading3">
    <w:name w:val="heading 3"/>
    <w:basedOn w:val="Normal"/>
    <w:next w:val="Normal"/>
    <w:link w:val="Heading3Char"/>
    <w:uiPriority w:val="9"/>
    <w:semiHidden/>
    <w:unhideWhenUsed/>
    <w:qFormat/>
    <w:rsid w:val="00760B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60BAF"/>
    <w:pPr>
      <w:keepNext/>
      <w:spacing w:before="240" w:after="60"/>
      <w:outlineLvl w:val="3"/>
    </w:pPr>
    <w:rPr>
      <w:rFonts w:cs="Times New Roman"/>
      <w:b/>
      <w:bCs/>
      <w:noProof w:val="0"/>
      <w:sz w:val="28"/>
      <w:szCs w:val="28"/>
    </w:rPr>
  </w:style>
  <w:style w:type="paragraph" w:styleId="Heading6">
    <w:name w:val="heading 6"/>
    <w:basedOn w:val="Normal"/>
    <w:next w:val="Normal"/>
    <w:link w:val="Heading6Char"/>
    <w:qFormat/>
    <w:rsid w:val="00760BAF"/>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760BAF"/>
    <w:pPr>
      <w:keepNext/>
      <w:jc w:val="center"/>
      <w:outlineLvl w:val="6"/>
    </w:pPr>
    <w:rPr>
      <w:rFonts w:cs="Times New Roman"/>
      <w:noProof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uiPriority w:val="9"/>
    <w:semiHidden/>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2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2023-11-15T11:54:00Z</dcterms:created>
  <dcterms:modified xsi:type="dcterms:W3CDTF">2023-11-15T11:54:00Z</dcterms:modified>
</cp:coreProperties>
</file>