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0956873" w:rsidR="00B235FD" w:rsidRDefault="00342313" w:rsidP="006852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>081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B6BF0C2" w:rsidR="00B235FD" w:rsidRDefault="00342313" w:rsidP="00BE121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 كابلات</w:t>
            </w:r>
            <w:r w:rsidR="00BE121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هاتفية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نحاسية </w:t>
            </w:r>
            <w:r w:rsidR="00BE121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متنوعة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7527F8B" w:rsidR="00ED369F" w:rsidRPr="00342313" w:rsidRDefault="00ED369F" w:rsidP="00BE121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>توريد كابلات</w:t>
            </w:r>
            <w:r w:rsidR="00BE1215">
              <w:rPr>
                <w:rFonts w:hint="cs"/>
                <w:color w:val="000000"/>
                <w:sz w:val="24"/>
                <w:szCs w:val="24"/>
                <w:rtl/>
              </w:rPr>
              <w:t xml:space="preserve"> هاتفية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 xml:space="preserve"> نحاسية </w:t>
            </w:r>
            <w:r w:rsidR="00BE1215">
              <w:rPr>
                <w:rFonts w:hint="cs"/>
                <w:color w:val="000000"/>
                <w:sz w:val="24"/>
                <w:szCs w:val="24"/>
                <w:rtl/>
              </w:rPr>
              <w:t>متنوعة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لزوم هيئة أوجيرو وذلك في مهلة 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ستة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588DAE7" w:rsidR="00ED369F" w:rsidRDefault="00685299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F8723CD" w:rsidR="00ED369F" w:rsidRDefault="00ED369F" w:rsidP="006852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685299">
              <w:rPr>
                <w:rFonts w:hint="cs"/>
                <w:sz w:val="28"/>
                <w:szCs w:val="24"/>
                <w:rtl/>
              </w:rPr>
              <w:t>3</w:t>
            </w:r>
            <w:r>
              <w:rPr>
                <w:rFonts w:hint="cs"/>
                <w:sz w:val="28"/>
                <w:szCs w:val="24"/>
                <w:rtl/>
              </w:rPr>
              <w:t>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685299">
              <w:rPr>
                <w:rFonts w:hint="cs"/>
                <w:sz w:val="28"/>
                <w:szCs w:val="24"/>
                <w:rtl/>
              </w:rPr>
              <w:t xml:space="preserve">ثلاثمائة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5589215" w:rsidR="00120426" w:rsidRPr="0062698E" w:rsidRDefault="007673F0" w:rsidP="00D233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D23337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F64614"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3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64614" w:rsidRPr="0062698E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Pr="0062698E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7673F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F577F4A" w:rsidR="007673F0" w:rsidRPr="0062698E" w:rsidRDefault="007673F0" w:rsidP="00D233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Pr="0062698E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23337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F64614"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/ 3 /2024  </w:t>
            </w:r>
            <w:r w:rsidRPr="0062698E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673F0" w:rsidRPr="00394738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0AA9ADC" w:rsidR="007673F0" w:rsidRPr="0062698E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673F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9B086B0" w:rsidR="007673F0" w:rsidRPr="0062698E" w:rsidRDefault="007673F0" w:rsidP="00D233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C02792"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2333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64614"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3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64614" w:rsidRPr="0062698E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Pr="0062698E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977D520" w:rsidR="007673F0" w:rsidRPr="0062698E" w:rsidRDefault="007673F0" w:rsidP="00D233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D23337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2698E"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3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/20</w:t>
            </w:r>
            <w:r w:rsidR="0062698E" w:rsidRPr="0062698E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2698E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Pr="0062698E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يومًا  كحد أدنى من التاريخ النهائي لتقديم العروض</w:t>
            </w:r>
          </w:p>
        </w:tc>
      </w:tr>
      <w:tr w:rsidR="007673F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7673F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7673F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94A9B82" w:rsidR="00B235FD" w:rsidRDefault="000C6026" w:rsidP="006852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685299">
              <w:rPr>
                <w:rFonts w:hint="cs"/>
                <w:sz w:val="28"/>
                <w:szCs w:val="24"/>
                <w:rtl/>
              </w:rPr>
              <w:t>3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685299">
              <w:rPr>
                <w:rFonts w:hint="cs"/>
                <w:sz w:val="28"/>
                <w:szCs w:val="24"/>
                <w:rtl/>
              </w:rPr>
              <w:t xml:space="preserve">ثلاثة الآف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8D5F" w14:textId="77777777" w:rsidR="00704716" w:rsidRDefault="00704716">
      <w:pPr>
        <w:spacing w:line="240" w:lineRule="auto"/>
      </w:pPr>
      <w:r>
        <w:separator/>
      </w:r>
    </w:p>
  </w:endnote>
  <w:endnote w:type="continuationSeparator" w:id="0">
    <w:p w14:paraId="1A0AF4D7" w14:textId="77777777" w:rsidR="00704716" w:rsidRDefault="00704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89A5" w14:textId="77777777" w:rsidR="00704716" w:rsidRDefault="00704716">
      <w:pPr>
        <w:spacing w:line="240" w:lineRule="auto"/>
      </w:pPr>
      <w:r>
        <w:separator/>
      </w:r>
    </w:p>
  </w:footnote>
  <w:footnote w:type="continuationSeparator" w:id="0">
    <w:p w14:paraId="238E08CC" w14:textId="77777777" w:rsidR="00704716" w:rsidRDefault="00704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F51"/>
    <w:rsid w:val="0004722E"/>
    <w:rsid w:val="00051B21"/>
    <w:rsid w:val="00057E7A"/>
    <w:rsid w:val="000C323F"/>
    <w:rsid w:val="000C4C75"/>
    <w:rsid w:val="000C6026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3BA7"/>
    <w:rsid w:val="00257D4C"/>
    <w:rsid w:val="0026413D"/>
    <w:rsid w:val="0028639D"/>
    <w:rsid w:val="0029172A"/>
    <w:rsid w:val="00297452"/>
    <w:rsid w:val="002A5515"/>
    <w:rsid w:val="002B7048"/>
    <w:rsid w:val="002E4633"/>
    <w:rsid w:val="00312085"/>
    <w:rsid w:val="00342313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955FF"/>
    <w:rsid w:val="005A0FD0"/>
    <w:rsid w:val="00600C24"/>
    <w:rsid w:val="00602315"/>
    <w:rsid w:val="00607625"/>
    <w:rsid w:val="00614D21"/>
    <w:rsid w:val="0062698E"/>
    <w:rsid w:val="00646963"/>
    <w:rsid w:val="00685299"/>
    <w:rsid w:val="0068607B"/>
    <w:rsid w:val="00693D36"/>
    <w:rsid w:val="00704716"/>
    <w:rsid w:val="00710D03"/>
    <w:rsid w:val="00724191"/>
    <w:rsid w:val="00750C8B"/>
    <w:rsid w:val="007524D1"/>
    <w:rsid w:val="007673F0"/>
    <w:rsid w:val="00774BCF"/>
    <w:rsid w:val="00785232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00D3"/>
    <w:rsid w:val="008D3049"/>
    <w:rsid w:val="008E20ED"/>
    <w:rsid w:val="008E70EB"/>
    <w:rsid w:val="008F29AA"/>
    <w:rsid w:val="008F7D3E"/>
    <w:rsid w:val="00903CB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C1033"/>
    <w:rsid w:val="009D4EF8"/>
    <w:rsid w:val="00A049F7"/>
    <w:rsid w:val="00A16C78"/>
    <w:rsid w:val="00A23D1D"/>
    <w:rsid w:val="00A370DB"/>
    <w:rsid w:val="00A859BE"/>
    <w:rsid w:val="00A975FF"/>
    <w:rsid w:val="00AA2A6E"/>
    <w:rsid w:val="00AE0E36"/>
    <w:rsid w:val="00B111F4"/>
    <w:rsid w:val="00B235FD"/>
    <w:rsid w:val="00B907AE"/>
    <w:rsid w:val="00BE1215"/>
    <w:rsid w:val="00C02792"/>
    <w:rsid w:val="00C07FFD"/>
    <w:rsid w:val="00C23DB5"/>
    <w:rsid w:val="00C45470"/>
    <w:rsid w:val="00C46847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3337"/>
    <w:rsid w:val="00D40723"/>
    <w:rsid w:val="00D65179"/>
    <w:rsid w:val="00D7469C"/>
    <w:rsid w:val="00D77AA6"/>
    <w:rsid w:val="00D81E3E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2467E"/>
    <w:rsid w:val="00F64614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9</cp:revision>
  <cp:lastPrinted>2023-11-23T10:34:00Z</cp:lastPrinted>
  <dcterms:created xsi:type="dcterms:W3CDTF">2023-11-29T10:48:00Z</dcterms:created>
  <dcterms:modified xsi:type="dcterms:W3CDTF">2024-02-22T11:35:00Z</dcterms:modified>
</cp:coreProperties>
</file>