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 w:rsidTr="00C22075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 w:rsidP="00C22075">
            <w:pPr>
              <w:spacing w:line="240" w:lineRule="auto"/>
              <w:ind w:hanging="2"/>
              <w:jc w:val="left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1F5E34" w:rsidRDefault="000841DE" w:rsidP="00C2207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 w:rsidTr="00C22075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 w:rsidP="00C22075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1F5E34" w:rsidRDefault="001B3D3F" w:rsidP="00C2207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 w:rsidTr="00816AFC">
        <w:trPr>
          <w:trHeight w:val="323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816AFC">
        <w:trPr>
          <w:trHeight w:val="251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 w:rsidP="00C22075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3DD3" w:rsidP="00C22075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23071</w:t>
            </w:r>
          </w:p>
        </w:tc>
      </w:tr>
      <w:tr w:rsidR="001F5E34" w:rsidTr="00C22075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 w:rsidP="00C22075">
            <w:pPr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471FAC" w:rsidRDefault="00FD5E10" w:rsidP="00C22075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D5E10">
              <w:rPr>
                <w:rFonts w:hint="cs"/>
                <w:color w:val="000000"/>
                <w:sz w:val="24"/>
                <w:szCs w:val="24"/>
                <w:rtl/>
              </w:rPr>
              <w:t xml:space="preserve">تزويد آليات وزارة الاتصالات وهيئة أوجيرو بمادتي </w:t>
            </w:r>
            <w:r w:rsidRPr="00FD5E10">
              <w:rPr>
                <w:color w:val="000000"/>
                <w:sz w:val="24"/>
                <w:szCs w:val="24"/>
                <w:rtl/>
              </w:rPr>
              <w:t>البنزين</w:t>
            </w:r>
            <w:r w:rsidRPr="00FD5E10">
              <w:rPr>
                <w:rFonts w:hint="cs"/>
                <w:color w:val="000000"/>
                <w:sz w:val="24"/>
                <w:szCs w:val="24"/>
                <w:rtl/>
              </w:rPr>
              <w:t xml:space="preserve"> والديزل أويل وتغيير الزيوت والفلاتر مع خدمة الغسيل</w:t>
            </w:r>
          </w:p>
        </w:tc>
      </w:tr>
      <w:tr w:rsidR="001F5E34" w:rsidTr="00C22075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 w:rsidP="00C22075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841DE" w:rsidP="00FC3CFA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ودفتر الشروط العامة لهيئة اوجيرو، ودفتر الشروط الخاصة العائد لهذه المناقصة</w:t>
            </w:r>
            <w:r w:rsidR="00FC14F3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FD5E10">
              <w:rPr>
                <w:rFonts w:hint="cs"/>
                <w:color w:val="000000"/>
                <w:sz w:val="24"/>
                <w:szCs w:val="24"/>
                <w:rtl/>
              </w:rPr>
              <w:t>والغاية منها</w:t>
            </w:r>
            <w:r w:rsidR="00FC14F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D5E10" w:rsidRPr="00FD5E10">
              <w:rPr>
                <w:color w:val="000000"/>
                <w:sz w:val="24"/>
                <w:szCs w:val="24"/>
                <w:rtl/>
              </w:rPr>
              <w:t xml:space="preserve">تزويد آليات وزارة الاتصالات </w:t>
            </w:r>
            <w:r w:rsidR="00FD5E10" w:rsidRPr="00FD5E10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="00FD5E10" w:rsidRPr="00FD5E10">
              <w:rPr>
                <w:color w:val="000000"/>
                <w:sz w:val="24"/>
                <w:szCs w:val="24"/>
                <w:rtl/>
              </w:rPr>
              <w:t xml:space="preserve">هيئة أوجيرو بمادتي البنزين والديزل أويل </w:t>
            </w:r>
            <w:r w:rsidR="00FD5E10" w:rsidRPr="00FD5E10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="00FD5E10" w:rsidRPr="00FD5E10">
              <w:rPr>
                <w:color w:val="000000"/>
                <w:sz w:val="24"/>
                <w:szCs w:val="24"/>
                <w:rtl/>
              </w:rPr>
              <w:t>تغيير الزيوت والفلاتر مع خدمة الغسيل من المحطات المعتمدة لدى الشركة ال</w:t>
            </w:r>
            <w:r w:rsidR="00FD5E10" w:rsidRPr="00FD5E10">
              <w:rPr>
                <w:rFonts w:hint="cs"/>
                <w:color w:val="000000"/>
                <w:sz w:val="24"/>
                <w:szCs w:val="24"/>
                <w:rtl/>
              </w:rPr>
              <w:t>ملتزم</w:t>
            </w:r>
            <w:r w:rsidR="00FD5E10" w:rsidRPr="00FD5E10">
              <w:rPr>
                <w:color w:val="000000"/>
                <w:sz w:val="24"/>
                <w:szCs w:val="24"/>
                <w:rtl/>
              </w:rPr>
              <w:t>ة</w:t>
            </w:r>
            <w:r w:rsidR="00FD5E10" w:rsidRPr="00FD5E10">
              <w:rPr>
                <w:rFonts w:hint="cs"/>
                <w:color w:val="000000"/>
                <w:sz w:val="24"/>
                <w:szCs w:val="24"/>
                <w:rtl/>
              </w:rPr>
              <w:t xml:space="preserve"> والمو</w:t>
            </w:r>
            <w:r w:rsidR="00FD5E10">
              <w:rPr>
                <w:rFonts w:hint="cs"/>
                <w:color w:val="000000"/>
                <w:sz w:val="24"/>
                <w:szCs w:val="24"/>
                <w:rtl/>
              </w:rPr>
              <w:t>زّعة على كافة الاراضي اللبنانية.</w:t>
            </w:r>
          </w:p>
        </w:tc>
      </w:tr>
      <w:tr w:rsidR="001F5E34" w:rsidTr="00816AFC">
        <w:trPr>
          <w:trHeight w:val="269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 w:rsidP="00C22075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FD5E10" w:rsidP="00C22075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7E3DD3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 w:rsidTr="00C22075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 w:rsidP="00C22075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C22075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7E3DD3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 w:rsidTr="00C22075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 w:rsidP="00C22075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FD5E10" w:rsidRDefault="00FD5E10" w:rsidP="00FC3CFA">
            <w:pPr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FD5E10">
              <w:rPr>
                <w:color w:val="000000"/>
                <w:sz w:val="24"/>
                <w:szCs w:val="24"/>
                <w:rtl/>
              </w:rPr>
              <w:t xml:space="preserve">ان عنصر المفاضلة في هذه المناقصة </w:t>
            </w:r>
            <w:r w:rsidRPr="00FD5E10">
              <w:rPr>
                <w:rFonts w:hint="cs"/>
                <w:color w:val="000000"/>
                <w:sz w:val="24"/>
                <w:szCs w:val="24"/>
                <w:rtl/>
              </w:rPr>
              <w:t>فيما خصّ توريد مادتي البنزين والديزل أويل</w:t>
            </w:r>
            <w:r w:rsidRPr="00FD5E10">
              <w:rPr>
                <w:color w:val="000000"/>
                <w:sz w:val="24"/>
                <w:szCs w:val="24"/>
                <w:rtl/>
              </w:rPr>
              <w:t xml:space="preserve"> يقوم على </w:t>
            </w:r>
            <w:r w:rsidRPr="00FD5E10">
              <w:rPr>
                <w:rFonts w:hint="cs"/>
                <w:color w:val="000000"/>
                <w:sz w:val="24"/>
                <w:szCs w:val="24"/>
                <w:rtl/>
              </w:rPr>
              <w:t xml:space="preserve">أساس قيمة الحسم المتمثلة باقتطاع نسبة مئوية </w:t>
            </w:r>
            <w:r w:rsidR="00C22075" w:rsidRPr="00C22075">
              <w:rPr>
                <w:rFonts w:hint="cs"/>
                <w:color w:val="000000"/>
                <w:sz w:val="24"/>
                <w:szCs w:val="24"/>
                <w:rtl/>
              </w:rPr>
              <w:t>من السعر أو من عمولة المحطة</w:t>
            </w:r>
            <w:r w:rsidR="00C22075" w:rsidRPr="00FD5E1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FD5E10">
              <w:rPr>
                <w:rFonts w:hint="cs"/>
                <w:color w:val="000000"/>
                <w:sz w:val="24"/>
                <w:szCs w:val="24"/>
                <w:rtl/>
              </w:rPr>
              <w:t xml:space="preserve">الواردة في جدول الأسعار الصادر عن وزارة الطاقة والمياه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بالاضافة الى </w:t>
            </w:r>
            <w:r w:rsidRPr="00FD5E10">
              <w:rPr>
                <w:rFonts w:hint="cs"/>
                <w:color w:val="000000"/>
                <w:sz w:val="24"/>
                <w:szCs w:val="24"/>
                <w:rtl/>
              </w:rPr>
              <w:t>عدد المحطات المعتمدة من الشركة وانتشارها في جميع المناطق اللبنانية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،</w:t>
            </w:r>
            <w:r w:rsidRPr="00FD5E10">
              <w:rPr>
                <w:rFonts w:hint="cs"/>
                <w:color w:val="000000"/>
                <w:sz w:val="24"/>
                <w:szCs w:val="24"/>
                <w:rtl/>
              </w:rPr>
              <w:t xml:space="preserve"> وفيما خصّ تغيير الزيوت، الفلاتر وعمليات الغسيل</w:t>
            </w:r>
            <w:r w:rsidRPr="00FD5E10">
              <w:rPr>
                <w:color w:val="000000"/>
                <w:sz w:val="24"/>
                <w:szCs w:val="24"/>
                <w:rtl/>
              </w:rPr>
              <w:t xml:space="preserve"> يقوم على </w:t>
            </w:r>
            <w:r w:rsidRPr="00FD5E10">
              <w:rPr>
                <w:rFonts w:hint="cs"/>
                <w:color w:val="000000"/>
                <w:sz w:val="24"/>
                <w:szCs w:val="24"/>
                <w:rtl/>
              </w:rPr>
              <w:t>أساس السعر الأدنى لمجموع الكلفة المحتسبة لكافة الزيوت حسب الكميات التقديرية الوار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دة في جدول الكميات المرفق ربطاً.</w:t>
            </w:r>
          </w:p>
        </w:tc>
      </w:tr>
      <w:tr w:rsidR="0021799B" w:rsidTr="00C22075">
        <w:trPr>
          <w:trHeight w:val="350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 w:rsidP="00C22075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1799B" w:rsidRPr="00FD5E10" w:rsidRDefault="00FC3CFA" w:rsidP="00FC3CFA">
            <w:pPr>
              <w:ind w:hanging="2"/>
              <w:jc w:val="both"/>
              <w:rPr>
                <w:color w:val="000000"/>
                <w:sz w:val="28"/>
                <w:szCs w:val="24"/>
                <w:highlight w:val="yellow"/>
              </w:rPr>
            </w:pPr>
            <w:r w:rsidRPr="00FC3CFA">
              <w:rPr>
                <w:rFonts w:hint="cs"/>
                <w:color w:val="000000"/>
                <w:sz w:val="24"/>
                <w:szCs w:val="24"/>
                <w:rtl/>
              </w:rPr>
              <w:t>/1،000،000/ل.ل ( فقط مليون ليرة لبنانية لا غير) غير قابلة للردّ.</w:t>
            </w:r>
          </w:p>
        </w:tc>
      </w:tr>
      <w:tr w:rsidR="0021799B" w:rsidTr="00816AFC">
        <w:trPr>
          <w:trHeight w:val="30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 w:rsidP="00C22075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21799B" w:rsidRDefault="00FD5E10" w:rsidP="00C22075">
            <w:pPr>
              <w:ind w:hanging="2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  <w:r w:rsidR="007E3DD3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bookmarkStart w:id="0" w:name="_GoBack"/>
            <w:bookmarkEnd w:id="0"/>
          </w:p>
        </w:tc>
      </w:tr>
      <w:tr w:rsidR="0021799B" w:rsidTr="00C22075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 w:rsidP="00C22075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1799B" w:rsidRDefault="0021799B" w:rsidP="00C22075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الرابعة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</w:t>
            </w:r>
            <w:r w:rsidR="00C22075">
              <w:rPr>
                <w:rFonts w:hint="cs"/>
                <w:color w:val="000000"/>
                <w:sz w:val="24"/>
                <w:szCs w:val="24"/>
                <w:rtl/>
              </w:rPr>
              <w:t>دارية المطلوب من العارض تقديمها.</w:t>
            </w:r>
          </w:p>
        </w:tc>
      </w:tr>
    </w:tbl>
    <w:p w:rsidR="001F5E34" w:rsidRPr="00FD5E10" w:rsidRDefault="001F5E34">
      <w:pPr>
        <w:ind w:hanging="2"/>
        <w:jc w:val="both"/>
        <w:rPr>
          <w:sz w:val="14"/>
          <w:szCs w:val="14"/>
        </w:rPr>
      </w:pPr>
    </w:p>
    <w:tbl>
      <w:tblPr>
        <w:tblStyle w:val="a1"/>
        <w:bidiVisual/>
        <w:tblW w:w="1120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09"/>
        <w:gridCol w:w="6451"/>
        <w:gridCol w:w="43"/>
      </w:tblGrid>
      <w:tr w:rsidR="001F5E34" w:rsidTr="00C22075">
        <w:trPr>
          <w:gridAfter w:val="1"/>
          <w:wAfter w:w="43" w:type="dxa"/>
          <w:trHeight w:val="408"/>
          <w:jc w:val="right"/>
        </w:trPr>
        <w:tc>
          <w:tcPr>
            <w:tcW w:w="111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 w:rsidP="00C22075">
            <w:pPr>
              <w:ind w:hanging="2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F5E34" w:rsidTr="00C22075">
        <w:trPr>
          <w:jc w:val="right"/>
        </w:trPr>
        <w:tc>
          <w:tcPr>
            <w:tcW w:w="4709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 w:rsidP="00C22075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C22075" w:rsidRDefault="00FC3CFA" w:rsidP="00E42E2F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نهار </w:t>
            </w:r>
            <w:r w:rsidR="0054122C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الجمعة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الواقع في </w:t>
            </w:r>
            <w:r w:rsidR="00E42E2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16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E42E2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/2022 </w:t>
            </w:r>
            <w:r>
              <w:rPr>
                <w:color w:val="000000"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س 9 صباحاً</w:t>
            </w:r>
          </w:p>
        </w:tc>
      </w:tr>
      <w:tr w:rsidR="001F5E34" w:rsidTr="00C22075">
        <w:trPr>
          <w:jc w:val="right"/>
        </w:trPr>
        <w:tc>
          <w:tcPr>
            <w:tcW w:w="470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 w:rsidP="00C22075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649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C22075" w:rsidRDefault="00FC3CFA" w:rsidP="0054122C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54122C">
              <w:rPr>
                <w:rFonts w:hint="cs"/>
                <w:color w:val="000000"/>
                <w:sz w:val="24"/>
                <w:szCs w:val="24"/>
                <w:rtl/>
              </w:rPr>
              <w:t xml:space="preserve">الجمعة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الواقع </w:t>
            </w:r>
            <w:r w:rsidR="00FA0158" w:rsidRPr="00C22075">
              <w:rPr>
                <w:rFonts w:hint="cs"/>
                <w:color w:val="000000"/>
                <w:sz w:val="24"/>
                <w:szCs w:val="24"/>
                <w:rtl/>
              </w:rPr>
              <w:t>في</w:t>
            </w:r>
            <w:r w:rsidR="00F33A3D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4122C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/12</w:t>
            </w:r>
            <w:r w:rsidR="00EC5EDF" w:rsidRPr="00C22075">
              <w:rPr>
                <w:rFonts w:hint="cs"/>
                <w:color w:val="000000"/>
                <w:sz w:val="24"/>
                <w:szCs w:val="24"/>
                <w:rtl/>
              </w:rPr>
              <w:t>/2022</w:t>
            </w:r>
            <w:r w:rsidR="00EC5EDF" w:rsidRPr="00C220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- </w:t>
            </w:r>
            <w:r w:rsidR="00816AFC" w:rsidRPr="008108E6">
              <w:rPr>
                <w:rFonts w:hint="cs"/>
                <w:color w:val="000000"/>
                <w:sz w:val="24"/>
                <w:szCs w:val="24"/>
                <w:rtl/>
              </w:rPr>
              <w:t>س 12 ظهراً</w:t>
            </w:r>
            <w:r w:rsidR="007E3DD3" w:rsidRPr="00C2207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 w:rsidTr="00C22075">
        <w:trPr>
          <w:jc w:val="right"/>
        </w:trPr>
        <w:tc>
          <w:tcPr>
            <w:tcW w:w="470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 w:rsidP="00C22075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649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C22075" w:rsidRDefault="00816AFC" w:rsidP="0054122C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54122C">
              <w:rPr>
                <w:rFonts w:hint="cs"/>
                <w:color w:val="000000"/>
                <w:sz w:val="24"/>
                <w:szCs w:val="24"/>
                <w:rtl/>
              </w:rPr>
              <w:t xml:space="preserve">الأربعاء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الواقع</w:t>
            </w:r>
            <w:r w:rsidR="007E3DD3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C5EDF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في </w:t>
            </w:r>
            <w:r w:rsidR="0054122C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927B3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F33A3D" w:rsidRPr="00C2207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927B3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 w:rsidR="00931C4E" w:rsidRPr="00C22075">
              <w:rPr>
                <w:color w:val="000000"/>
                <w:sz w:val="24"/>
                <w:szCs w:val="24"/>
                <w:rtl/>
              </w:rPr>
              <w:t>–</w:t>
            </w:r>
            <w:r w:rsidR="00931C4E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8108E6">
              <w:rPr>
                <w:rFonts w:hint="cs"/>
                <w:color w:val="000000"/>
                <w:sz w:val="24"/>
                <w:szCs w:val="24"/>
                <w:rtl/>
              </w:rPr>
              <w:t>س 12 ظهراً</w:t>
            </w:r>
          </w:p>
        </w:tc>
      </w:tr>
      <w:tr w:rsidR="001F5E34" w:rsidTr="00C22075">
        <w:trPr>
          <w:jc w:val="right"/>
        </w:trPr>
        <w:tc>
          <w:tcPr>
            <w:tcW w:w="470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 w:rsidP="00C22075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649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C22075" w:rsidRDefault="00816AFC" w:rsidP="0054122C">
            <w:pPr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54122C">
              <w:rPr>
                <w:rFonts w:hint="cs"/>
                <w:color w:val="000000"/>
                <w:sz w:val="24"/>
                <w:szCs w:val="24"/>
                <w:rtl/>
              </w:rPr>
              <w:t xml:space="preserve">الاثنين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الواقع</w:t>
            </w:r>
            <w:r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83A5F" w:rsidRPr="00C22075">
              <w:rPr>
                <w:rFonts w:hint="cs"/>
                <w:color w:val="000000"/>
                <w:sz w:val="24"/>
                <w:szCs w:val="24"/>
                <w:rtl/>
              </w:rPr>
              <w:t>في</w:t>
            </w:r>
            <w:r w:rsidR="0054122C">
              <w:rPr>
                <w:rFonts w:hint="cs"/>
                <w:color w:val="000000"/>
                <w:sz w:val="24"/>
                <w:szCs w:val="24"/>
                <w:rtl/>
              </w:rPr>
              <w:t xml:space="preserve"> 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/1/2023 </w:t>
            </w:r>
            <w:r w:rsidR="00BF2555" w:rsidRPr="00C220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- </w:t>
            </w:r>
            <w:r w:rsidRPr="008108E6">
              <w:rPr>
                <w:rFonts w:hint="cs"/>
                <w:color w:val="000000"/>
                <w:sz w:val="24"/>
                <w:szCs w:val="24"/>
                <w:rtl/>
              </w:rPr>
              <w:t>س 12 ظهراً</w:t>
            </w:r>
          </w:p>
        </w:tc>
      </w:tr>
      <w:tr w:rsidR="00F83A5F" w:rsidTr="00816AFC">
        <w:trPr>
          <w:trHeight w:val="440"/>
          <w:jc w:val="right"/>
        </w:trPr>
        <w:tc>
          <w:tcPr>
            <w:tcW w:w="470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83A5F" w:rsidRDefault="00F83A5F" w:rsidP="00C22075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649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83A5F" w:rsidRPr="00C22075" w:rsidRDefault="00816AFC" w:rsidP="00E42E2F">
            <w:pPr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54122C">
              <w:rPr>
                <w:rFonts w:hint="cs"/>
                <w:color w:val="000000"/>
                <w:sz w:val="24"/>
                <w:szCs w:val="24"/>
                <w:rtl/>
              </w:rPr>
              <w:t xml:space="preserve">الاثنين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الواقع</w:t>
            </w:r>
            <w:r w:rsidR="007E3DD3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33A3D"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في </w:t>
            </w:r>
            <w:r w:rsidR="0054122C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/1/2023 </w:t>
            </w:r>
            <w:r w:rsidR="00BF2555" w:rsidRPr="00C220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س 12:30 ظهراً</w:t>
            </w:r>
          </w:p>
        </w:tc>
      </w:tr>
      <w:tr w:rsidR="001F5E34" w:rsidTr="00C22075">
        <w:trPr>
          <w:jc w:val="right"/>
        </w:trPr>
        <w:tc>
          <w:tcPr>
            <w:tcW w:w="470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 w:rsidP="00C22075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649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31C4E" w:rsidP="00C2207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  <w:r w:rsidR="007E3DD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1F5E34" w:rsidTr="00C22075">
        <w:trPr>
          <w:trHeight w:val="479"/>
          <w:jc w:val="right"/>
        </w:trPr>
        <w:tc>
          <w:tcPr>
            <w:tcW w:w="470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 w:rsidP="00C22075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649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 w:rsidP="00C2207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  <w:r w:rsidR="007E3DD3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1F5E34" w:rsidTr="00C22075">
        <w:trPr>
          <w:trHeight w:val="467"/>
          <w:jc w:val="right"/>
        </w:trPr>
        <w:tc>
          <w:tcPr>
            <w:tcW w:w="470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 w:rsidP="00C2207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649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 w:rsidP="00C2207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  <w:r w:rsidR="007E3DD3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1F5E34" w:rsidTr="00C22075">
        <w:trPr>
          <w:trHeight w:val="467"/>
          <w:jc w:val="right"/>
        </w:trPr>
        <w:tc>
          <w:tcPr>
            <w:tcW w:w="4709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 w:rsidP="00C2207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6494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 w:rsidP="00C2207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  <w:r w:rsidR="007E3DD3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1F5E34" w:rsidRPr="00FD5E10" w:rsidRDefault="001F5E34">
      <w:pPr>
        <w:ind w:hanging="2"/>
        <w:jc w:val="both"/>
        <w:rPr>
          <w:sz w:val="12"/>
          <w:szCs w:val="12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 w:rsidTr="001C33E3">
        <w:trPr>
          <w:trHeight w:val="23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E41D98" w:rsidRDefault="007E3DD3" w:rsidP="007E3DD3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/5،000،000/</w:t>
            </w:r>
            <w:r w:rsidR="00E41D98" w:rsidRPr="00E41D98">
              <w:rPr>
                <w:rFonts w:hint="cs"/>
                <w:sz w:val="28"/>
                <w:szCs w:val="24"/>
                <w:rtl/>
              </w:rPr>
              <w:t xml:space="preserve">ل.ل </w:t>
            </w:r>
            <w:r w:rsidR="00E41D98" w:rsidRPr="00E41D98">
              <w:rPr>
                <w:sz w:val="28"/>
                <w:szCs w:val="24"/>
                <w:rtl/>
              </w:rPr>
              <w:t xml:space="preserve">(فقط </w:t>
            </w:r>
            <w:r>
              <w:rPr>
                <w:rFonts w:hint="cs"/>
                <w:sz w:val="28"/>
                <w:szCs w:val="24"/>
                <w:rtl/>
              </w:rPr>
              <w:t>خمسة</w:t>
            </w:r>
            <w:r w:rsidR="00E41D98" w:rsidRPr="00E41D98">
              <w:rPr>
                <w:rFonts w:hint="cs"/>
                <w:sz w:val="28"/>
                <w:szCs w:val="24"/>
                <w:rtl/>
              </w:rPr>
              <w:t xml:space="preserve"> ملايين </w:t>
            </w:r>
            <w:r w:rsidR="00E41D98" w:rsidRPr="00E41D98">
              <w:rPr>
                <w:sz w:val="28"/>
                <w:szCs w:val="24"/>
                <w:rtl/>
              </w:rPr>
              <w:t>ليرة لبنانية لا غير)</w:t>
            </w:r>
            <w:r>
              <w:rPr>
                <w:rFonts w:hint="cs"/>
                <w:sz w:val="28"/>
                <w:szCs w:val="24"/>
                <w:rtl/>
              </w:rPr>
              <w:t>.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AB6C38" w:rsidP="00AB6C38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نهار الاثنين الواقع</w:t>
            </w:r>
            <w:r w:rsidRPr="00C22075">
              <w:rPr>
                <w:rFonts w:hint="cs"/>
                <w:color w:val="000000"/>
                <w:sz w:val="24"/>
                <w:szCs w:val="24"/>
                <w:rtl/>
              </w:rPr>
              <w:t xml:space="preserve"> في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Pr="00C220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- </w:t>
            </w:r>
            <w:r w:rsidRPr="008108E6">
              <w:rPr>
                <w:rFonts w:hint="cs"/>
                <w:color w:val="000000"/>
                <w:sz w:val="24"/>
                <w:szCs w:val="24"/>
                <w:rtl/>
              </w:rPr>
              <w:t>س 12 ظهراً</w:t>
            </w:r>
            <w:r w:rsidR="007E3DD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</w:tbl>
    <w:p w:rsidR="001F5E34" w:rsidRPr="00FD5E10" w:rsidRDefault="001F5E34" w:rsidP="00FD5E10">
      <w:pPr>
        <w:ind w:firstLine="0"/>
        <w:jc w:val="both"/>
        <w:rPr>
          <w:sz w:val="14"/>
          <w:szCs w:val="14"/>
        </w:rPr>
      </w:pPr>
    </w:p>
    <w:tbl>
      <w:tblPr>
        <w:tblStyle w:val="a3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85"/>
      </w:tblGrid>
      <w:tr w:rsidR="001F5E34" w:rsidTr="001C33E3">
        <w:trPr>
          <w:trHeight w:val="1052"/>
          <w:jc w:val="right"/>
        </w:trPr>
        <w:tc>
          <w:tcPr>
            <w:tcW w:w="11185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AB6C38">
            <w:pPr>
              <w:spacing w:line="240" w:lineRule="auto"/>
              <w:ind w:firstLin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r w:rsidR="00FD5E10" w:rsidRPr="00FD5E10">
              <w:rPr>
                <w:rFonts w:ascii="Arial" w:eastAsia="Arial" w:hAnsi="Arial" w:cs="Arial"/>
                <w:sz w:val="24"/>
                <w:szCs w:val="24"/>
                <w:rtl/>
              </w:rPr>
              <w:t>الإلكتروني</w:t>
            </w:r>
            <w:r w:rsidR="00FD5E10" w:rsidRPr="00FD5E10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</w:t>
            </w:r>
            <w:hyperlink r:id="rId7" w:history="1">
              <w:r w:rsidR="00FD5E10" w:rsidRPr="00FD5E10">
                <w:rPr>
                  <w:rFonts w:ascii="Arial" w:eastAsia="Arial" w:hAnsi="Arial" w:cs="Arial"/>
                  <w:sz w:val="24"/>
                  <w:szCs w:val="24"/>
                </w:rPr>
                <w:t>hassan.sabbagh@ogero.gov.lb</w:t>
              </w:r>
            </w:hyperlink>
            <w:r w:rsidR="00AB6C38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</w:t>
            </w:r>
            <w:r w:rsidR="00FD5E1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1C33E3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1C33E3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 w:rsidR="001C33E3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1C33E3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  <w:r w:rsidR="007E3DD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 w:rsidTr="001C33E3">
        <w:trPr>
          <w:trHeight w:val="68"/>
          <w:jc w:val="right"/>
        </w:trPr>
        <w:tc>
          <w:tcPr>
            <w:tcW w:w="11185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1F5E34" w:rsidP="001C33E3">
            <w:pPr>
              <w:spacing w:line="240" w:lineRule="auto"/>
              <w:ind w:firstLin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1F5E34" w:rsidRDefault="001F5E34" w:rsidP="00816AFC">
      <w:pPr>
        <w:ind w:firstLine="0"/>
        <w:jc w:val="both"/>
      </w:pPr>
    </w:p>
    <w:sectPr w:rsidR="001F5E34" w:rsidSect="00816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426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753" w:rsidRDefault="00541753">
      <w:pPr>
        <w:spacing w:line="240" w:lineRule="auto"/>
      </w:pPr>
      <w:r>
        <w:separator/>
      </w:r>
    </w:p>
  </w:endnote>
  <w:endnote w:type="continuationSeparator" w:id="0">
    <w:p w:rsidR="00541753" w:rsidRDefault="00541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Pr="00816AFC" w:rsidRDefault="001F5E34" w:rsidP="00816AFC">
    <w:pPr>
      <w:pStyle w:val="Footer"/>
      <w:ind w:firstLine="0"/>
      <w:jc w:val="both"/>
      <w:rPr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753" w:rsidRDefault="00541753">
      <w:pPr>
        <w:spacing w:line="240" w:lineRule="auto"/>
      </w:pPr>
      <w:r>
        <w:separator/>
      </w:r>
    </w:p>
  </w:footnote>
  <w:footnote w:type="continuationSeparator" w:id="0">
    <w:p w:rsidR="00541753" w:rsidRDefault="005417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F5558D5" wp14:editId="383DCC4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558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5D2A506" wp14:editId="6D1199D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2A5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96243"/>
    <w:multiLevelType w:val="hybridMultilevel"/>
    <w:tmpl w:val="F696977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EA829D4"/>
    <w:multiLevelType w:val="hybridMultilevel"/>
    <w:tmpl w:val="9F7CF58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34"/>
    <w:rsid w:val="00010434"/>
    <w:rsid w:val="00015CDC"/>
    <w:rsid w:val="000603D9"/>
    <w:rsid w:val="000841DE"/>
    <w:rsid w:val="000C1E5C"/>
    <w:rsid w:val="000C7FCA"/>
    <w:rsid w:val="000E0F83"/>
    <w:rsid w:val="000E1B98"/>
    <w:rsid w:val="00104718"/>
    <w:rsid w:val="0019064A"/>
    <w:rsid w:val="001B3D3F"/>
    <w:rsid w:val="001C33E3"/>
    <w:rsid w:val="001F5E34"/>
    <w:rsid w:val="0021799B"/>
    <w:rsid w:val="002634D7"/>
    <w:rsid w:val="002A57F7"/>
    <w:rsid w:val="002C5982"/>
    <w:rsid w:val="00321A8D"/>
    <w:rsid w:val="00383289"/>
    <w:rsid w:val="003C567B"/>
    <w:rsid w:val="003F2200"/>
    <w:rsid w:val="00431E81"/>
    <w:rsid w:val="00471FAC"/>
    <w:rsid w:val="004C4A14"/>
    <w:rsid w:val="004D7085"/>
    <w:rsid w:val="004E547E"/>
    <w:rsid w:val="00505EE2"/>
    <w:rsid w:val="0054122C"/>
    <w:rsid w:val="00541753"/>
    <w:rsid w:val="005C34A0"/>
    <w:rsid w:val="005F5744"/>
    <w:rsid w:val="0066088E"/>
    <w:rsid w:val="00682686"/>
    <w:rsid w:val="00714401"/>
    <w:rsid w:val="007A20B2"/>
    <w:rsid w:val="007E1923"/>
    <w:rsid w:val="007E3DD3"/>
    <w:rsid w:val="007E6B3E"/>
    <w:rsid w:val="00816AFC"/>
    <w:rsid w:val="00825DFB"/>
    <w:rsid w:val="00877184"/>
    <w:rsid w:val="0088380A"/>
    <w:rsid w:val="008D7223"/>
    <w:rsid w:val="00901D4A"/>
    <w:rsid w:val="00931C4E"/>
    <w:rsid w:val="0094609E"/>
    <w:rsid w:val="00990061"/>
    <w:rsid w:val="009F408E"/>
    <w:rsid w:val="00A77F9C"/>
    <w:rsid w:val="00AB6C38"/>
    <w:rsid w:val="00AC325B"/>
    <w:rsid w:val="00B6594E"/>
    <w:rsid w:val="00B927B3"/>
    <w:rsid w:val="00BB5B37"/>
    <w:rsid w:val="00BF2555"/>
    <w:rsid w:val="00C16826"/>
    <w:rsid w:val="00C22075"/>
    <w:rsid w:val="00C41B36"/>
    <w:rsid w:val="00C50E4D"/>
    <w:rsid w:val="00C632A2"/>
    <w:rsid w:val="00C66D17"/>
    <w:rsid w:val="00CB16AD"/>
    <w:rsid w:val="00CD43B8"/>
    <w:rsid w:val="00D87B82"/>
    <w:rsid w:val="00D949B8"/>
    <w:rsid w:val="00DD5725"/>
    <w:rsid w:val="00DD7396"/>
    <w:rsid w:val="00E05D53"/>
    <w:rsid w:val="00E41D98"/>
    <w:rsid w:val="00E42E2F"/>
    <w:rsid w:val="00EC5EDF"/>
    <w:rsid w:val="00EF58E5"/>
    <w:rsid w:val="00F33A3D"/>
    <w:rsid w:val="00F81AF3"/>
    <w:rsid w:val="00F83A5F"/>
    <w:rsid w:val="00FA0158"/>
    <w:rsid w:val="00FC14F3"/>
    <w:rsid w:val="00FC3CFA"/>
    <w:rsid w:val="00FC3FFD"/>
    <w:rsid w:val="00F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8B7E"/>
  <w15:docId w15:val="{F292DA58-4188-493E-B2C8-902C919E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16AF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6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ssan.sabbagh@ogero.gov.l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Hussam Saad</cp:lastModifiedBy>
  <cp:revision>3</cp:revision>
  <cp:lastPrinted>2022-12-14T10:37:00Z</cp:lastPrinted>
  <dcterms:created xsi:type="dcterms:W3CDTF">2022-12-15T10:57:00Z</dcterms:created>
  <dcterms:modified xsi:type="dcterms:W3CDTF">2022-12-15T11:06:00Z</dcterms:modified>
</cp:coreProperties>
</file>