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  <w:lang w:bidi="ar-LB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824393" w:rsidP="00B272A0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230</w:t>
            </w:r>
            <w:r w:rsidR="00B272A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272A0" w:rsidRDefault="00B272A0" w:rsidP="00B272A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72A0">
              <w:rPr>
                <w:rFonts w:hint="cs"/>
                <w:color w:val="000000"/>
                <w:sz w:val="24"/>
                <w:szCs w:val="24"/>
                <w:rtl/>
              </w:rPr>
              <w:t>تلزيم أعمال التنظيفات والخدمات في مباني ومراكز وزارة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الاتصالات وهيئة اوجيرو.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B272A0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لأحكام وشروط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0C9F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B272A0">
              <w:rPr>
                <w:rFonts w:hint="cs"/>
                <w:color w:val="000000"/>
                <w:sz w:val="24"/>
                <w:szCs w:val="24"/>
                <w:rtl/>
              </w:rPr>
              <w:t>القيام</w:t>
            </w:r>
            <w:r w:rsidR="00B272A0" w:rsidRPr="00B272A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272A0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B272A0" w:rsidRPr="00B272A0">
              <w:rPr>
                <w:rFonts w:hint="cs"/>
                <w:color w:val="000000"/>
                <w:sz w:val="24"/>
                <w:szCs w:val="24"/>
                <w:rtl/>
              </w:rPr>
              <w:t>أعمال التنظيفات والخدمات في مباني ومراكز وزارة الاتصالات وهيئة اوجيرو</w:t>
            </w:r>
            <w:r w:rsidR="00B272A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A3F96">
              <w:rPr>
                <w:rFonts w:hint="cs"/>
                <w:color w:val="000000"/>
                <w:sz w:val="24"/>
                <w:szCs w:val="24"/>
                <w:rtl/>
              </w:rPr>
              <w:t xml:space="preserve">وفقاً </w:t>
            </w:r>
            <w:r w:rsidR="00B272A0">
              <w:rPr>
                <w:rFonts w:hint="cs"/>
                <w:color w:val="000000"/>
                <w:sz w:val="24"/>
                <w:szCs w:val="24"/>
                <w:rtl/>
              </w:rPr>
              <w:t>للمواصفات الفنية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 xml:space="preserve"> المرفقة بدفتر الشروط الخاصة </w:t>
            </w:r>
            <w:r w:rsidR="00FA3F9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B272A0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DE3020" w:rsidRDefault="0088380A" w:rsidP="00C633E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3020">
              <w:rPr>
                <w:color w:val="000000"/>
                <w:sz w:val="24"/>
                <w:szCs w:val="24"/>
                <w:rtl/>
              </w:rPr>
              <w:t>اختيار السعر الأدنى</w:t>
            </w:r>
            <w:r w:rsidR="00B272A0">
              <w:rPr>
                <w:rFonts w:hint="cs"/>
                <w:color w:val="000000"/>
                <w:sz w:val="24"/>
                <w:szCs w:val="24"/>
                <w:rtl/>
              </w:rPr>
              <w:t xml:space="preserve"> الإجمالي</w:t>
            </w:r>
            <w:r w:rsidR="00FC0C9F" w:rsidRPr="00DE302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BE6506" w:rsidRPr="00DE3020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FC0C9F" w:rsidRDefault="00C633EB" w:rsidP="005B1436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100</w:t>
            </w:r>
            <w:r w:rsidR="00824393"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$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( فقط 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مائة دولار أميركي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</w:t>
            </w:r>
            <w:r>
              <w:rPr>
                <w:rFonts w:cs="Simplified Arabic" w:hint="cs"/>
                <w:sz w:val="22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Pr="00824393" w:rsidRDefault="0021799B" w:rsidP="005B1436">
            <w:pPr>
              <w:ind w:hanging="2"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 xml:space="preserve"> العربية</w:t>
            </w:r>
            <w:r w:rsidR="005B14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5B143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المطلوب من العارض تقديمها +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الملاحق.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Pr="004D2B8D" w:rsidRDefault="000307FA" w:rsidP="000307F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 w:rsidR="0029066B"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 w:rsidR="0029066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bookmarkStart w:id="0" w:name="_GoBack"/>
            <w:bookmarkEnd w:id="0"/>
            <w:r w:rsidR="0029066B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29066B">
              <w:rPr>
                <w:color w:val="000000"/>
                <w:sz w:val="24"/>
                <w:szCs w:val="24"/>
                <w:rtl/>
              </w:rPr>
              <w:t>–</w:t>
            </w:r>
            <w:r w:rsidR="0029066B"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</w:t>
            </w:r>
            <w:r w:rsidR="0029066B" w:rsidRPr="004D2B8D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5B143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الاحد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/8/2023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5B143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/8/2023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 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5B143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B14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A3092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</w:p>
        </w:tc>
      </w:tr>
      <w:tr w:rsidR="0029066B" w:rsidTr="001C3845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5B143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5B143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12:30 ظهراً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29066B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29066B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29066B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B16DFF" w:rsidRDefault="00B16DFF" w:rsidP="00B272A0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B16DFF">
              <w:rPr>
                <w:rFonts w:hint="cs"/>
                <w:sz w:val="28"/>
                <w:szCs w:val="24"/>
                <w:rtl/>
              </w:rPr>
              <w:t>/</w:t>
            </w:r>
            <w:r w:rsidR="00C633EB">
              <w:rPr>
                <w:rFonts w:hint="cs"/>
                <w:sz w:val="28"/>
                <w:szCs w:val="24"/>
                <w:rtl/>
              </w:rPr>
              <w:t>50،000،000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/ل.ل </w:t>
            </w:r>
            <w:r w:rsidRPr="00B16DFF">
              <w:rPr>
                <w:sz w:val="28"/>
                <w:szCs w:val="24"/>
                <w:rtl/>
              </w:rPr>
              <w:t xml:space="preserve">(فقط </w:t>
            </w:r>
            <w:r w:rsidR="00C633EB">
              <w:rPr>
                <w:rFonts w:hint="cs"/>
                <w:sz w:val="28"/>
                <w:szCs w:val="24"/>
                <w:rtl/>
              </w:rPr>
              <w:t>خمسون</w:t>
            </w:r>
            <w:r w:rsidR="00FC0C9F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B272A0">
              <w:rPr>
                <w:rFonts w:hint="cs"/>
                <w:sz w:val="28"/>
                <w:szCs w:val="24"/>
                <w:rtl/>
              </w:rPr>
              <w:t>مليون</w:t>
            </w:r>
            <w:r w:rsidRPr="00B16DFF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B16DFF">
              <w:rPr>
                <w:sz w:val="28"/>
                <w:szCs w:val="24"/>
                <w:rtl/>
              </w:rPr>
              <w:t>ليرة لبنانية لا غير)</w:t>
            </w:r>
            <w:r w:rsidR="00ED4D1E">
              <w:rPr>
                <w:rFonts w:hint="cs"/>
                <w:sz w:val="28"/>
                <w:szCs w:val="24"/>
                <w:rtl/>
              </w:rPr>
              <w:t xml:space="preserve"> لكل مجموعة على حدة.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FA3F96" w:rsidRDefault="001F5E34">
      <w:pPr>
        <w:ind w:hanging="2"/>
        <w:jc w:val="both"/>
      </w:pPr>
    </w:p>
    <w:tbl>
      <w:tblPr>
        <w:tblStyle w:val="a3"/>
        <w:bidiVisual/>
        <w:tblW w:w="11185" w:type="dxa"/>
        <w:jc w:val="righ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FA3F96">
        <w:trPr>
          <w:trHeight w:val="683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633EB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FA3F96" w:rsidRP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marwa.zein@ogero.gov.lb, </w:t>
            </w:r>
            <w:hyperlink r:id="rId7" w:history="1">
              <w:r w:rsidR="00C633EB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C633EB">
        <w:trPr>
          <w:trHeight w:val="144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C633EB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Pr="00FA3F96" w:rsidRDefault="001F5E34" w:rsidP="00FA3F96">
      <w:pPr>
        <w:tabs>
          <w:tab w:val="left" w:pos="198"/>
        </w:tabs>
        <w:ind w:firstLine="0"/>
        <w:jc w:val="left"/>
      </w:pPr>
    </w:p>
    <w:sectPr w:rsidR="001F5E34" w:rsidRPr="00FA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0F" w:rsidRDefault="00E2640F">
      <w:pPr>
        <w:spacing w:line="240" w:lineRule="auto"/>
      </w:pPr>
      <w:r>
        <w:separator/>
      </w:r>
    </w:p>
  </w:endnote>
  <w:endnote w:type="continuationSeparator" w:id="0">
    <w:p w:rsidR="00E2640F" w:rsidRDefault="00E26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0F" w:rsidRDefault="00E2640F">
      <w:pPr>
        <w:spacing w:line="240" w:lineRule="auto"/>
      </w:pPr>
      <w:r>
        <w:separator/>
      </w:r>
    </w:p>
  </w:footnote>
  <w:footnote w:type="continuationSeparator" w:id="0">
    <w:p w:rsidR="00E2640F" w:rsidRDefault="00E26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307FA"/>
    <w:rsid w:val="00053477"/>
    <w:rsid w:val="00057D8E"/>
    <w:rsid w:val="000603D9"/>
    <w:rsid w:val="00067FC7"/>
    <w:rsid w:val="000841DE"/>
    <w:rsid w:val="00090F27"/>
    <w:rsid w:val="0009463C"/>
    <w:rsid w:val="000C2100"/>
    <w:rsid w:val="000C7FCA"/>
    <w:rsid w:val="000E0F83"/>
    <w:rsid w:val="000E1B98"/>
    <w:rsid w:val="001601B9"/>
    <w:rsid w:val="0019064A"/>
    <w:rsid w:val="001A0A33"/>
    <w:rsid w:val="001B3D3F"/>
    <w:rsid w:val="001C3845"/>
    <w:rsid w:val="001F5E34"/>
    <w:rsid w:val="0021799B"/>
    <w:rsid w:val="00243698"/>
    <w:rsid w:val="00255D28"/>
    <w:rsid w:val="0027146F"/>
    <w:rsid w:val="0029066B"/>
    <w:rsid w:val="002A57F7"/>
    <w:rsid w:val="002C5982"/>
    <w:rsid w:val="002F38D1"/>
    <w:rsid w:val="00321A8D"/>
    <w:rsid w:val="003C567B"/>
    <w:rsid w:val="003F2200"/>
    <w:rsid w:val="00431E81"/>
    <w:rsid w:val="00471FAC"/>
    <w:rsid w:val="004C4A14"/>
    <w:rsid w:val="004D7085"/>
    <w:rsid w:val="005467B3"/>
    <w:rsid w:val="005B1436"/>
    <w:rsid w:val="005B3760"/>
    <w:rsid w:val="005C34A0"/>
    <w:rsid w:val="005F5744"/>
    <w:rsid w:val="00630EF6"/>
    <w:rsid w:val="0066088E"/>
    <w:rsid w:val="00665FBF"/>
    <w:rsid w:val="00682686"/>
    <w:rsid w:val="006D0123"/>
    <w:rsid w:val="00714401"/>
    <w:rsid w:val="007A20B2"/>
    <w:rsid w:val="007A5731"/>
    <w:rsid w:val="007E6B3E"/>
    <w:rsid w:val="007F3849"/>
    <w:rsid w:val="00824393"/>
    <w:rsid w:val="00825DFB"/>
    <w:rsid w:val="00841E35"/>
    <w:rsid w:val="00877184"/>
    <w:rsid w:val="0088380A"/>
    <w:rsid w:val="008D7223"/>
    <w:rsid w:val="0090059D"/>
    <w:rsid w:val="00901D4A"/>
    <w:rsid w:val="00921A7F"/>
    <w:rsid w:val="00925438"/>
    <w:rsid w:val="00931C4E"/>
    <w:rsid w:val="0094609E"/>
    <w:rsid w:val="00990061"/>
    <w:rsid w:val="00A02E84"/>
    <w:rsid w:val="00AC325B"/>
    <w:rsid w:val="00B16DFF"/>
    <w:rsid w:val="00B272A0"/>
    <w:rsid w:val="00B42FC4"/>
    <w:rsid w:val="00B5059A"/>
    <w:rsid w:val="00B6594E"/>
    <w:rsid w:val="00BB5B37"/>
    <w:rsid w:val="00BE6506"/>
    <w:rsid w:val="00BF2555"/>
    <w:rsid w:val="00BF642E"/>
    <w:rsid w:val="00C16826"/>
    <w:rsid w:val="00C41B36"/>
    <w:rsid w:val="00C50E4D"/>
    <w:rsid w:val="00C632A2"/>
    <w:rsid w:val="00C633EB"/>
    <w:rsid w:val="00C66D17"/>
    <w:rsid w:val="00CB16AD"/>
    <w:rsid w:val="00D53295"/>
    <w:rsid w:val="00D64FEF"/>
    <w:rsid w:val="00D77342"/>
    <w:rsid w:val="00D87B82"/>
    <w:rsid w:val="00D949B8"/>
    <w:rsid w:val="00DC3C55"/>
    <w:rsid w:val="00DC4F65"/>
    <w:rsid w:val="00DD5725"/>
    <w:rsid w:val="00DD7396"/>
    <w:rsid w:val="00DE3020"/>
    <w:rsid w:val="00E2640F"/>
    <w:rsid w:val="00E41D98"/>
    <w:rsid w:val="00E80A88"/>
    <w:rsid w:val="00EA3092"/>
    <w:rsid w:val="00EC5EDF"/>
    <w:rsid w:val="00ED1447"/>
    <w:rsid w:val="00ED4D1E"/>
    <w:rsid w:val="00F220F2"/>
    <w:rsid w:val="00F33A3D"/>
    <w:rsid w:val="00F8207E"/>
    <w:rsid w:val="00F83A5F"/>
    <w:rsid w:val="00FA0158"/>
    <w:rsid w:val="00FA3F96"/>
    <w:rsid w:val="00FC0C9F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7</cp:revision>
  <cp:lastPrinted>2023-07-05T10:13:00Z</cp:lastPrinted>
  <dcterms:created xsi:type="dcterms:W3CDTF">2023-07-26T10:12:00Z</dcterms:created>
  <dcterms:modified xsi:type="dcterms:W3CDTF">2023-08-14T10:24:00Z</dcterms:modified>
</cp:coreProperties>
</file>