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BF8697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61CED36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أوجيرو الرئيسي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مقابل المدينة الرياضية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F292F50" w:rsidR="00B235FD" w:rsidRDefault="00BE7C69" w:rsidP="00BE7C6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24012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CFBEBE8" w:rsidR="00B235FD" w:rsidRDefault="00BE7C69" w:rsidP="00BE7C6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 زيوت لزوم المولدات في السنترالات والمراكز الهاتفية لزوم هيئة أوجيرو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665B4C7" w:rsidR="00B235FD" w:rsidRPr="008D3049" w:rsidRDefault="00BE7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1D57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المناقصة. وتشمل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توريد زيوت لزوم المولدات في السنترالات والمراكز الهاتفية لزوم هيئة أوجيرو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66DC433" w:rsidR="00B235FD" w:rsidRDefault="00BE7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C0CB4D7" w:rsidR="00B235FD" w:rsidRDefault="00CA7C6C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E826D8E" w:rsidR="00B235FD" w:rsidRDefault="00CA7C6C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الأدنى،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CB1A51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6167E21" w:rsidR="00A049F7" w:rsidRDefault="00A049F7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962699" w:rsidR="00B235FD" w:rsidRDefault="00BE7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/100/$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85BFE0C" w:rsidR="00B235FD" w:rsidRDefault="00CA7C6C" w:rsidP="00BE7C69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E7C69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4165A950" w:rsidR="00B235FD" w:rsidRDefault="00BE7C69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لائحة الزيوت المطلوبة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7D0D9A72" w:rsidR="00120426" w:rsidRDefault="009E423E" w:rsidP="00A7357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="00183675">
              <w:rPr>
                <w:rFonts w:hint="cs"/>
                <w:color w:val="000000"/>
                <w:sz w:val="24"/>
                <w:szCs w:val="24"/>
                <w:rtl/>
              </w:rPr>
              <w:t>/06/2024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2A1C1E"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  <w:p w14:paraId="64B29719" w14:textId="599A0EC1" w:rsidR="00120426" w:rsidRDefault="00120426" w:rsidP="00FC6AC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DEB1050" w:rsidR="00120426" w:rsidRDefault="00A73577" w:rsidP="00A7357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="00FC6ACC">
              <w:rPr>
                <w:rFonts w:hint="cs"/>
                <w:color w:val="000000"/>
                <w:sz w:val="24"/>
                <w:szCs w:val="24"/>
                <w:rtl/>
              </w:rPr>
              <w:t>/06/2024</w:t>
            </w:r>
            <w:r w:rsidR="00FC6ACC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 w:rsidR="00FC6ACC">
              <w:rPr>
                <w:rFonts w:hint="cs"/>
                <w:color w:val="000000"/>
                <w:sz w:val="24"/>
                <w:szCs w:val="24"/>
                <w:rtl/>
              </w:rPr>
              <w:t>12:</w:t>
            </w:r>
            <w:r w:rsidR="00476098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FC6ACC">
              <w:rPr>
                <w:rFonts w:hint="cs"/>
                <w:color w:val="000000"/>
                <w:sz w:val="24"/>
                <w:szCs w:val="24"/>
                <w:rtl/>
              </w:rPr>
              <w:t>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41D417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DDD7B26" w:rsidR="00120426" w:rsidRDefault="00A73577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31/</w:t>
            </w:r>
            <w:r w:rsidR="008061AF">
              <w:rPr>
                <w:rFonts w:hint="cs"/>
                <w:color w:val="000000"/>
                <w:sz w:val="24"/>
                <w:szCs w:val="24"/>
                <w:rtl/>
              </w:rPr>
              <w:t>05/2024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4CA091F" w:rsidR="00120426" w:rsidRDefault="00615098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4/06/2024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ED9ADB" w:rsidR="00120426" w:rsidRDefault="00BE7C69" w:rsidP="00BE7C6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يوماً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39E19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AA2664D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122210A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AF26678" w:rsidR="00B235FD" w:rsidRDefault="00BE7C69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/3000/$ ( فقط ثلاثة آلاف دولار اميركي لا غير 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777777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7162F1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359DFD56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7E093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E093A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وعلى الموقع الالكتروني لهيئة أوجيرو </w:t>
            </w:r>
            <w:r w:rsidR="007E093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bidi="ar-LB"/>
              </w:rPr>
              <w:t>www.ogero.gov.lb</w:t>
            </w:r>
          </w:p>
          <w:tbl>
            <w:tblPr>
              <w:bidiVisual/>
              <w:tblW w:w="1134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7"/>
            </w:tblGrid>
            <w:tr w:rsidR="007162F1" w14:paraId="12E32C3D" w14:textId="77777777" w:rsidTr="00E22426">
              <w:trPr>
                <w:trHeight w:val="683"/>
                <w:jc w:val="right"/>
              </w:trPr>
              <w:tc>
                <w:tcPr>
                  <w:tcW w:w="11347" w:type="dxa"/>
                  <w:tcBorders>
                    <w:top w:val="single" w:sz="4" w:space="0" w:color="000000"/>
                    <w:bottom w:val="nil"/>
                  </w:tcBorders>
                  <w:vAlign w:val="center"/>
                </w:tcPr>
                <w:p w14:paraId="0DB1B45B" w14:textId="77777777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 ل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مزيد من المعلومات يمكنكم في أي وقت مراجعة وحدة الشراء العام في الجهة الشارية عبر التواصل مع 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قطاع المناقصات والعقود في هيئة اوجيرو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على الرقم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01/826840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أو عبر البريد </w:t>
                  </w:r>
                  <w:hyperlink r:id="rId6" w:history="1">
                    <w:r w:rsidRPr="008E56E1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  <w:u w:val="none"/>
                        <w:rtl/>
                      </w:rPr>
                      <w:t>ا</w:t>
                    </w:r>
                    <w:r w:rsidRPr="008E56E1">
                      <w:rPr>
                        <w:rStyle w:val="Hyperlink"/>
                        <w:rFonts w:ascii="Arial" w:eastAsia="Arial" w:hAnsi="Arial" w:cs="Arial"/>
                        <w:color w:val="auto"/>
                        <w:sz w:val="24"/>
                        <w:szCs w:val="24"/>
                        <w:u w:val="none"/>
                        <w:rtl/>
                      </w:rPr>
                      <w:t>لإلكتروني</w:t>
                    </w:r>
                    <w:r w:rsidRPr="00FF4D3E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malak.yamout@ogero.gov.lb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200E">
                    <w:rPr>
                      <w:rStyle w:val="Hyperlink"/>
                      <w:rFonts w:ascii="Arial" w:eastAsia="Arial" w:hAnsi="Arial" w:cs="Arial"/>
                      <w:sz w:val="24"/>
                      <w:szCs w:val="24"/>
                    </w:rPr>
                    <w:t>hakkad@ogero.gov.lb</w:t>
                  </w:r>
                  <w:r w:rsidRPr="0078200E">
                    <w:rPr>
                      <w:rStyle w:val="Hyperlink"/>
                      <w:rFonts w:eastAsia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;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0FFDD8D" w14:textId="7560BA88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أو عبر المنصة الإلكترونية المركزية لهيئة الشراء العام على الموقع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www.ppa.gov.lb</w:t>
                  </w:r>
                </w:p>
              </w:tc>
            </w:tr>
          </w:tbl>
          <w:p w14:paraId="31825C0F" w14:textId="0B7EF814" w:rsidR="00B235FD" w:rsidRPr="007162F1" w:rsidRDefault="00B235FD" w:rsidP="007162F1">
            <w:pPr>
              <w:spacing w:line="360" w:lineRule="auto"/>
              <w:ind w:left="271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3675"/>
    <w:rsid w:val="0018466D"/>
    <w:rsid w:val="001B03BC"/>
    <w:rsid w:val="00202F71"/>
    <w:rsid w:val="0021171F"/>
    <w:rsid w:val="00223934"/>
    <w:rsid w:val="00232E85"/>
    <w:rsid w:val="00241015"/>
    <w:rsid w:val="00257D4C"/>
    <w:rsid w:val="0029172A"/>
    <w:rsid w:val="00297452"/>
    <w:rsid w:val="002A1C1E"/>
    <w:rsid w:val="002A5515"/>
    <w:rsid w:val="002B7048"/>
    <w:rsid w:val="002E4633"/>
    <w:rsid w:val="00312085"/>
    <w:rsid w:val="003555ED"/>
    <w:rsid w:val="00376DEB"/>
    <w:rsid w:val="00394738"/>
    <w:rsid w:val="003D35EC"/>
    <w:rsid w:val="003E6A30"/>
    <w:rsid w:val="00421691"/>
    <w:rsid w:val="00461B6C"/>
    <w:rsid w:val="00467BC7"/>
    <w:rsid w:val="00476098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15098"/>
    <w:rsid w:val="00646963"/>
    <w:rsid w:val="0068607B"/>
    <w:rsid w:val="00693D36"/>
    <w:rsid w:val="00710D03"/>
    <w:rsid w:val="007162F1"/>
    <w:rsid w:val="00724191"/>
    <w:rsid w:val="00750C8B"/>
    <w:rsid w:val="007524D1"/>
    <w:rsid w:val="00774BCF"/>
    <w:rsid w:val="0079090C"/>
    <w:rsid w:val="00795C6E"/>
    <w:rsid w:val="007B68B9"/>
    <w:rsid w:val="007E093A"/>
    <w:rsid w:val="007E2C66"/>
    <w:rsid w:val="007F36D7"/>
    <w:rsid w:val="007F6601"/>
    <w:rsid w:val="00801DFC"/>
    <w:rsid w:val="00801F32"/>
    <w:rsid w:val="008061AF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85C7E"/>
    <w:rsid w:val="009C1033"/>
    <w:rsid w:val="009D4EF8"/>
    <w:rsid w:val="009E423E"/>
    <w:rsid w:val="00A049F7"/>
    <w:rsid w:val="00A16C78"/>
    <w:rsid w:val="00A23D1D"/>
    <w:rsid w:val="00A73577"/>
    <w:rsid w:val="00A859BE"/>
    <w:rsid w:val="00A975FF"/>
    <w:rsid w:val="00AA2A6E"/>
    <w:rsid w:val="00AE0E36"/>
    <w:rsid w:val="00B111F4"/>
    <w:rsid w:val="00B235FD"/>
    <w:rsid w:val="00B907AE"/>
    <w:rsid w:val="00BE7C69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B6D64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Malak Yamout</cp:lastModifiedBy>
  <cp:revision>15</cp:revision>
  <cp:lastPrinted>2024-01-31T11:40:00Z</cp:lastPrinted>
  <dcterms:created xsi:type="dcterms:W3CDTF">2024-01-31T11:26:00Z</dcterms:created>
  <dcterms:modified xsi:type="dcterms:W3CDTF">2024-05-15T08:55:00Z</dcterms:modified>
</cp:coreProperties>
</file>