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1BE836B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A19FAB6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هيئة أوجيرو الرئيسي في بئر حسن - مقابل المدينة الرياضية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AA0DDD">
        <w:trPr>
          <w:trHeight w:val="39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A0694AF" w:rsidR="00B235FD" w:rsidRDefault="00AA0DDD" w:rsidP="00AA0DD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24115</w:t>
            </w:r>
            <w:r w:rsidR="00DD5CC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C3C01">
              <w:rPr>
                <w:color w:val="000000"/>
                <w:sz w:val="24"/>
                <w:szCs w:val="24"/>
              </w:rPr>
              <w:t>R-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0574AB4" w:rsidR="00B235FD" w:rsidRDefault="00342313" w:rsidP="00AA0DD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أعمال </w:t>
            </w:r>
            <w:r w:rsidR="00AA0DD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الدعم والصيانة والتحديث للتجهيزات الموضوعة بالخدمة ماركة </w:t>
            </w:r>
            <w:r w:rsidR="009F7B70">
              <w:rPr>
                <w:color w:val="000000"/>
                <w:sz w:val="24"/>
                <w:szCs w:val="24"/>
                <w:lang w:bidi="ar-LB"/>
              </w:rPr>
              <w:t>DASAN</w:t>
            </w:r>
            <w:r w:rsidR="00E417C5">
              <w:rPr>
                <w:color w:val="000000"/>
                <w:sz w:val="24"/>
                <w:szCs w:val="24"/>
                <w:lang w:bidi="ar-LB"/>
              </w:rPr>
              <w:t xml:space="preserve"> /</w:t>
            </w:r>
            <w:r w:rsidR="009F7B70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  <w:proofErr w:type="spellStart"/>
            <w:r w:rsidR="009F7B70">
              <w:rPr>
                <w:color w:val="000000"/>
                <w:sz w:val="24"/>
                <w:szCs w:val="24"/>
                <w:lang w:bidi="ar-LB"/>
              </w:rPr>
              <w:t>Zhone</w:t>
            </w:r>
            <w:proofErr w:type="spellEnd"/>
            <w:r w:rsidR="009F7B7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ED369F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822A9C9" w:rsidR="00ED369F" w:rsidRPr="00342313" w:rsidRDefault="00ED369F" w:rsidP="007D73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الشراء العام ودفتر الشروط الخاصة العائد لهذه المناقصة. وتشمل أعمال </w:t>
            </w:r>
            <w:r w:rsidR="00AB697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الدعم والصيانة </w:t>
            </w:r>
            <w:r w:rsidR="009F7B7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والتحديث للتجهيزات الموضوعة بالخدمة ماركة </w:t>
            </w:r>
            <w:r w:rsidR="009F7B70">
              <w:rPr>
                <w:color w:val="000000"/>
                <w:sz w:val="24"/>
                <w:szCs w:val="24"/>
              </w:rPr>
              <w:t>DASAN</w:t>
            </w:r>
            <w:r w:rsidR="00E417C5">
              <w:rPr>
                <w:color w:val="000000"/>
                <w:sz w:val="24"/>
                <w:szCs w:val="24"/>
              </w:rPr>
              <w:t xml:space="preserve"> /</w:t>
            </w:r>
            <w:r w:rsidR="009F7B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F7B70">
              <w:rPr>
                <w:color w:val="000000"/>
                <w:sz w:val="24"/>
                <w:szCs w:val="24"/>
              </w:rPr>
              <w:t>Zhone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وذلك في مهلة </w:t>
            </w:r>
            <w:r w:rsidR="00AB697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سنة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37090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قابلة للجديد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ED369F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2BB4098" w:rsidR="00ED369F" w:rsidRDefault="00AB697A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دعم وصيانة</w:t>
            </w:r>
            <w:r w:rsidR="008B6FF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D5CC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B4F597A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E2868FF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D369F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D369F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F50EA0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ED369F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D8640F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ED369F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304CD5B" w:rsidR="00ED369F" w:rsidRDefault="00ED369F" w:rsidP="002C3C0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2C3C01">
              <w:rPr>
                <w:rFonts w:hint="cs"/>
                <w:sz w:val="28"/>
                <w:szCs w:val="24"/>
                <w:rtl/>
              </w:rPr>
              <w:t>1</w:t>
            </w:r>
            <w:r w:rsidR="00146F78">
              <w:rPr>
                <w:rFonts w:hint="cs"/>
                <w:sz w:val="28"/>
                <w:szCs w:val="24"/>
                <w:rtl/>
              </w:rPr>
              <w:t>00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/ $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="002C3C01">
              <w:rPr>
                <w:rFonts w:hint="cs"/>
                <w:sz w:val="28"/>
                <w:szCs w:val="24"/>
                <w:rtl/>
              </w:rPr>
              <w:t>مائة</w:t>
            </w:r>
            <w:r w:rsidR="009F7B70">
              <w:rPr>
                <w:rFonts w:hint="cs"/>
                <w:sz w:val="28"/>
                <w:szCs w:val="24"/>
                <w:rtl/>
              </w:rPr>
              <w:t xml:space="preserve"> </w:t>
            </w:r>
            <w:r w:rsidR="00DD5CCC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D9584A">
              <w:rPr>
                <w:rFonts w:hint="cs"/>
                <w:sz w:val="28"/>
                <w:szCs w:val="24"/>
                <w:rtl/>
              </w:rPr>
              <w:t>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  <w:r w:rsidRPr="00D9584A">
              <w:rPr>
                <w:rFonts w:hint="cs"/>
                <w:sz w:val="28"/>
                <w:szCs w:val="24"/>
                <w:rtl/>
                <w:lang w:bidi="ar-LB"/>
              </w:rPr>
              <w:t xml:space="preserve"> غير قابل للرد</w:t>
            </w:r>
          </w:p>
        </w:tc>
      </w:tr>
      <w:tr w:rsidR="00ED369F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344981A" w:rsidR="00ED369F" w:rsidRDefault="00ED369F" w:rsidP="00ED369F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ED369F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4E7A65F" w:rsidR="00ED369F" w:rsidRDefault="00ED369F" w:rsidP="00AB697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السادسة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التي تحدد المستندات الإدارية المطلوب من العارض تقديمها + المواصفات الفنية </w:t>
            </w:r>
            <w:r w:rsidR="00AB697A">
              <w:rPr>
                <w:rFonts w:hint="cs"/>
                <w:color w:val="000000"/>
                <w:sz w:val="24"/>
                <w:szCs w:val="24"/>
                <w:rtl/>
              </w:rPr>
              <w:t>والاعمال المطلوبة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F0017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F0017" w:rsidRDefault="001F0017" w:rsidP="001F00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97C8F30" w:rsidR="001F0017" w:rsidRDefault="001F0017" w:rsidP="001F001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/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/2024</w:t>
            </w:r>
            <w:r w:rsidRPr="00606220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12:30 ظهراً</w:t>
            </w:r>
          </w:p>
        </w:tc>
      </w:tr>
      <w:tr w:rsidR="001F0017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F0017" w:rsidRPr="000F5BBC" w:rsidRDefault="001F0017" w:rsidP="001F00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1D265C0" w:rsidR="001F0017" w:rsidRDefault="001F0017" w:rsidP="001F001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Pr="00606220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 /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 /2024  </w:t>
            </w:r>
            <w:r w:rsidRPr="00606220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F0017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F0017" w:rsidRPr="00394738" w:rsidRDefault="001F0017" w:rsidP="001F00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01C160B" w:rsidR="001F0017" w:rsidRDefault="001F0017" w:rsidP="001F001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F0017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F0017" w:rsidRPr="000F5BBC" w:rsidRDefault="001F0017" w:rsidP="001F00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7F694C4" w:rsidR="001F0017" w:rsidRDefault="001F0017" w:rsidP="001F001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تاريخ 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 /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  <w:r w:rsidRPr="00606220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F0017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F0017" w:rsidRPr="000F5BBC" w:rsidRDefault="001F0017" w:rsidP="001F00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2D78AEF" w:rsidR="001F0017" w:rsidRDefault="001F0017" w:rsidP="001F001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/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/2024 </w:t>
            </w:r>
            <w:r w:rsidRPr="00606220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95552EF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30 يومًا </w:t>
            </w:r>
            <w:r w:rsidR="00ED369F">
              <w:rPr>
                <w:rFonts w:hint="cs"/>
                <w:color w:val="000000"/>
                <w:sz w:val="24"/>
                <w:szCs w:val="24"/>
                <w:rtl/>
              </w:rPr>
              <w:t xml:space="preserve"> كحد أدنى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EF233EE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F15C770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9755BEF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17C44BD" w:rsidR="00B235FD" w:rsidRDefault="000C6026" w:rsidP="001F001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1F0017">
              <w:rPr>
                <w:rFonts w:hint="cs"/>
                <w:sz w:val="28"/>
                <w:szCs w:val="24"/>
                <w:rtl/>
              </w:rPr>
              <w:t>3</w:t>
            </w:r>
            <w:r w:rsidR="00370902">
              <w:rPr>
                <w:rFonts w:hint="cs"/>
                <w:sz w:val="28"/>
                <w:szCs w:val="24"/>
                <w:rtl/>
              </w:rPr>
              <w:t>000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/ $  </w:t>
            </w:r>
            <w:r w:rsidRPr="00D9584A">
              <w:rPr>
                <w:sz w:val="28"/>
                <w:szCs w:val="24"/>
                <w:rtl/>
              </w:rPr>
              <w:t>(فقط</w:t>
            </w:r>
            <w:r w:rsidR="00AB697A">
              <w:rPr>
                <w:rFonts w:hint="cs"/>
                <w:sz w:val="28"/>
                <w:szCs w:val="24"/>
                <w:rtl/>
              </w:rPr>
              <w:t xml:space="preserve"> </w:t>
            </w:r>
            <w:r w:rsidR="001F0017">
              <w:rPr>
                <w:rFonts w:hint="cs"/>
                <w:sz w:val="28"/>
                <w:szCs w:val="24"/>
                <w:rtl/>
              </w:rPr>
              <w:t>ثلاثة</w:t>
            </w:r>
            <w:bookmarkStart w:id="0" w:name="_GoBack"/>
            <w:bookmarkEnd w:id="0"/>
            <w:r w:rsidR="00370902">
              <w:rPr>
                <w:rFonts w:hint="cs"/>
                <w:sz w:val="28"/>
                <w:szCs w:val="24"/>
                <w:rtl/>
              </w:rPr>
              <w:t xml:space="preserve"> </w:t>
            </w:r>
            <w:r w:rsidR="00AB697A">
              <w:rPr>
                <w:rFonts w:hint="cs"/>
                <w:sz w:val="28"/>
                <w:szCs w:val="24"/>
                <w:rtl/>
              </w:rPr>
              <w:t xml:space="preserve"> آلاف</w:t>
            </w:r>
            <w:r w:rsidR="00DD5CCC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 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AB38CE9" w:rsidR="00B235FD" w:rsidRDefault="000C6026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تحدد</w:t>
            </w:r>
            <w:r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مدَة 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صلاحية ضمان العرض </w:t>
            </w:r>
            <w:r w:rsidR="00ED369F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بزيادة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28</w:t>
            </w:r>
            <w:r w:rsidRPr="00D958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يوماً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</w:t>
            </w:r>
            <w:r w:rsidR="00ED369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الأقل عن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مدة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618CD543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ppa.gov.lb</w:t>
            </w:r>
            <w:r w:rsidR="00ED369F"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369F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الأكتروني لهيئة أوجيرو </w:t>
            </w:r>
            <w:hyperlink r:id="rId6" w:history="1">
              <w:r w:rsidR="00ED369F" w:rsidRPr="008700D3">
                <w:rPr>
                  <w:rStyle w:val="Hyperlink"/>
                  <w:rFonts w:ascii="Arial" w:eastAsia="Arial" w:hAnsi="Arial" w:cs="Arial"/>
                  <w:b/>
                  <w:bCs/>
                  <w:color w:val="auto"/>
                  <w:sz w:val="24"/>
                  <w:szCs w:val="24"/>
                  <w:u w:val="none"/>
                </w:rPr>
                <w:t>www.ogero.gov.lb</w:t>
              </w:r>
            </w:hyperlink>
            <w:r w:rsidR="00ED369F"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1825C0F" w14:textId="03FBC204" w:rsidR="00B235FD" w:rsidRDefault="00CA7C6C" w:rsidP="008700D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8700D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قطاع المناقصات والعقود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على الرقم التالي</w:t>
            </w:r>
            <w:r w:rsidR="008700D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01/826840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8700D3" w:rsidRPr="007D7307">
                <w:rPr>
                  <w:rStyle w:val="Hyperlink"/>
                  <w:rFonts w:ascii="Arial" w:eastAsia="Arial" w:hAnsi="Arial" w:cs="Arial"/>
                  <w:color w:val="auto"/>
                  <w:sz w:val="22"/>
                  <w:szCs w:val="22"/>
                  <w:rtl/>
                </w:rPr>
                <w:t>ا</w:t>
              </w:r>
              <w:r w:rsidR="008700D3" w:rsidRPr="007D7307">
                <w:rPr>
                  <w:rStyle w:val="Hyperlink"/>
                  <w:rFonts w:ascii="Arial" w:eastAsia="Arial" w:hAnsi="Arial" w:cs="Arial"/>
                  <w:color w:val="auto"/>
                  <w:sz w:val="22"/>
                  <w:szCs w:val="22"/>
                  <w:u w:val="none"/>
                  <w:rtl/>
                </w:rPr>
                <w:t>لإلكتروني</w:t>
              </w:r>
              <w:r w:rsidR="008700D3" w:rsidRPr="007D7307">
                <w:rPr>
                  <w:rStyle w:val="Hyperlink"/>
                  <w:rFonts w:asciiTheme="majorBidi" w:eastAsia="Arial" w:hAnsiTheme="majorBidi" w:cstheme="majorBidi"/>
                  <w:color w:val="0070C0"/>
                  <w:sz w:val="22"/>
                  <w:szCs w:val="22"/>
                </w:rPr>
                <w:t>mayssa.hariri@ogero.gov.lb</w:t>
              </w:r>
            </w:hyperlink>
            <w:r w:rsidR="008700D3" w:rsidRPr="004E0F06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r w:rsidR="008700D3" w:rsidRPr="007D7307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hyperlink r:id="rId8" w:history="1">
              <w:r w:rsidR="008700D3" w:rsidRPr="004E0F06">
                <w:rPr>
                  <w:rStyle w:val="Hyperlink"/>
                  <w:color w:val="0070C0"/>
                  <w:sz w:val="22"/>
                  <w:szCs w:val="22"/>
                </w:rPr>
                <w:t>hakkad@ogero.gov.lb</w:t>
              </w:r>
            </w:hyperlink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EE2EC" w14:textId="77777777" w:rsidR="00483127" w:rsidRDefault="00483127">
      <w:pPr>
        <w:spacing w:line="240" w:lineRule="auto"/>
      </w:pPr>
      <w:r>
        <w:separator/>
      </w:r>
    </w:p>
  </w:endnote>
  <w:endnote w:type="continuationSeparator" w:id="0">
    <w:p w14:paraId="5AB03DA0" w14:textId="77777777" w:rsidR="00483127" w:rsidRDefault="00483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charset w:val="00"/>
    <w:family w:val="auto"/>
    <w:pitch w:val="default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E37E3" w14:textId="77777777" w:rsidR="00483127" w:rsidRDefault="00483127">
      <w:pPr>
        <w:spacing w:line="240" w:lineRule="auto"/>
      </w:pPr>
      <w:r>
        <w:separator/>
      </w:r>
    </w:p>
  </w:footnote>
  <w:footnote w:type="continuationSeparator" w:id="0">
    <w:p w14:paraId="180F4895" w14:textId="77777777" w:rsidR="00483127" w:rsidRDefault="004831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4722E"/>
    <w:rsid w:val="00051B21"/>
    <w:rsid w:val="00057E7A"/>
    <w:rsid w:val="00084429"/>
    <w:rsid w:val="000C323F"/>
    <w:rsid w:val="000C4C75"/>
    <w:rsid w:val="000C6026"/>
    <w:rsid w:val="000D195F"/>
    <w:rsid w:val="000F5BBC"/>
    <w:rsid w:val="001176D5"/>
    <w:rsid w:val="00120426"/>
    <w:rsid w:val="00146F78"/>
    <w:rsid w:val="00152950"/>
    <w:rsid w:val="0018466D"/>
    <w:rsid w:val="001B03BC"/>
    <w:rsid w:val="001B7A7D"/>
    <w:rsid w:val="001F0017"/>
    <w:rsid w:val="0021171F"/>
    <w:rsid w:val="00223934"/>
    <w:rsid w:val="00232E85"/>
    <w:rsid w:val="00241015"/>
    <w:rsid w:val="00253BA7"/>
    <w:rsid w:val="00257D4C"/>
    <w:rsid w:val="00260FAB"/>
    <w:rsid w:val="0029172A"/>
    <w:rsid w:val="00297452"/>
    <w:rsid w:val="002A5515"/>
    <w:rsid w:val="002B7048"/>
    <w:rsid w:val="002C3C01"/>
    <w:rsid w:val="002E4633"/>
    <w:rsid w:val="00312085"/>
    <w:rsid w:val="00342313"/>
    <w:rsid w:val="00344FCD"/>
    <w:rsid w:val="00357E38"/>
    <w:rsid w:val="00370902"/>
    <w:rsid w:val="00376DEB"/>
    <w:rsid w:val="00394738"/>
    <w:rsid w:val="003A7A03"/>
    <w:rsid w:val="003D35EC"/>
    <w:rsid w:val="003E6A30"/>
    <w:rsid w:val="003E6E09"/>
    <w:rsid w:val="00421691"/>
    <w:rsid w:val="00483127"/>
    <w:rsid w:val="00493266"/>
    <w:rsid w:val="004A1335"/>
    <w:rsid w:val="004B062A"/>
    <w:rsid w:val="004C34D2"/>
    <w:rsid w:val="004D56DD"/>
    <w:rsid w:val="0053774B"/>
    <w:rsid w:val="00560775"/>
    <w:rsid w:val="005955FF"/>
    <w:rsid w:val="005A0FD0"/>
    <w:rsid w:val="00600C24"/>
    <w:rsid w:val="00602315"/>
    <w:rsid w:val="00607625"/>
    <w:rsid w:val="00614D21"/>
    <w:rsid w:val="0063766E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D7307"/>
    <w:rsid w:val="007E2C66"/>
    <w:rsid w:val="007F36D7"/>
    <w:rsid w:val="007F6601"/>
    <w:rsid w:val="00801DFC"/>
    <w:rsid w:val="00801F32"/>
    <w:rsid w:val="0081782A"/>
    <w:rsid w:val="00823E2E"/>
    <w:rsid w:val="00847FC2"/>
    <w:rsid w:val="008700D3"/>
    <w:rsid w:val="008B6FF1"/>
    <w:rsid w:val="008C0C7B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457E7"/>
    <w:rsid w:val="009552E8"/>
    <w:rsid w:val="009672A0"/>
    <w:rsid w:val="00967D45"/>
    <w:rsid w:val="00977899"/>
    <w:rsid w:val="00985382"/>
    <w:rsid w:val="009A295D"/>
    <w:rsid w:val="009C1033"/>
    <w:rsid w:val="009D4EF8"/>
    <w:rsid w:val="009F7B70"/>
    <w:rsid w:val="00A049F7"/>
    <w:rsid w:val="00A16C78"/>
    <w:rsid w:val="00A23D1D"/>
    <w:rsid w:val="00A370DB"/>
    <w:rsid w:val="00A43176"/>
    <w:rsid w:val="00A830EC"/>
    <w:rsid w:val="00A859BE"/>
    <w:rsid w:val="00A975FF"/>
    <w:rsid w:val="00AA0DDD"/>
    <w:rsid w:val="00AA2A6E"/>
    <w:rsid w:val="00AB697A"/>
    <w:rsid w:val="00AE0E36"/>
    <w:rsid w:val="00B111F4"/>
    <w:rsid w:val="00B235FD"/>
    <w:rsid w:val="00B509A2"/>
    <w:rsid w:val="00B907AE"/>
    <w:rsid w:val="00B97BEF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728D"/>
    <w:rsid w:val="00CF26F0"/>
    <w:rsid w:val="00CF4D51"/>
    <w:rsid w:val="00D12C75"/>
    <w:rsid w:val="00D15312"/>
    <w:rsid w:val="00D40723"/>
    <w:rsid w:val="00D7469C"/>
    <w:rsid w:val="00D77AA6"/>
    <w:rsid w:val="00D81E3E"/>
    <w:rsid w:val="00DD5CCC"/>
    <w:rsid w:val="00E30E9C"/>
    <w:rsid w:val="00E35D1F"/>
    <w:rsid w:val="00E36313"/>
    <w:rsid w:val="00E417C5"/>
    <w:rsid w:val="00E56044"/>
    <w:rsid w:val="00E60DD0"/>
    <w:rsid w:val="00E92CB6"/>
    <w:rsid w:val="00EC5F24"/>
    <w:rsid w:val="00ED369F"/>
    <w:rsid w:val="00EE738A"/>
    <w:rsid w:val="00F04DAC"/>
    <w:rsid w:val="00F37C56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36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kad@ogero.gov.l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573;&#1604;&#1603;&#1578;&#1585;&#1608;&#1606;&#1610;mayssa.hariri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ero.gov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mayssa hariri</cp:lastModifiedBy>
  <cp:revision>2</cp:revision>
  <cp:lastPrinted>2024-07-04T09:55:00Z</cp:lastPrinted>
  <dcterms:created xsi:type="dcterms:W3CDTF">2024-07-09T10:44:00Z</dcterms:created>
  <dcterms:modified xsi:type="dcterms:W3CDTF">2024-07-09T10:44:00Z</dcterms:modified>
</cp:coreProperties>
</file>