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2995" w14:textId="77777777" w:rsidR="00C619BB" w:rsidRDefault="00C619BB" w:rsidP="00C619BB">
      <w:pPr>
        <w:ind w:left="1" w:hanging="3"/>
        <w:jc w:val="center"/>
        <w:rPr>
          <w:rFonts w:cs="Traditional Arabic"/>
        </w:rPr>
      </w:pPr>
      <w:r>
        <w:rPr>
          <w:rtl/>
          <w:lang w:bidi="ar-LB"/>
        </w:rPr>
        <w:t xml:space="preserve">دعوة للإعلان عن </w:t>
      </w:r>
      <w:r>
        <w:rPr>
          <w:rtl/>
        </w:rPr>
        <w:t xml:space="preserve">مناقصة عمومية </w:t>
      </w:r>
    </w:p>
    <w:p w14:paraId="2E0C29F9" w14:textId="77777777" w:rsidR="00C619BB" w:rsidRDefault="00C619BB" w:rsidP="00C619BB">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C619BB" w14:paraId="3EB45C7A" w14:textId="77777777" w:rsidTr="00C619BB">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3B2FE37" w14:textId="77777777" w:rsidR="00C619BB" w:rsidRDefault="00C619BB">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4CF45C5" w14:textId="77777777" w:rsidR="00C619BB" w:rsidRDefault="00C619BB">
            <w:pPr>
              <w:ind w:hanging="2"/>
              <w:rPr>
                <w:color w:val="000000"/>
                <w:rtl/>
                <w:lang w:bidi="ar-LB"/>
              </w:rPr>
            </w:pPr>
            <w:r>
              <w:rPr>
                <w:color w:val="000000"/>
                <w:rtl/>
                <w:lang w:bidi="ar-LB"/>
              </w:rPr>
              <w:t xml:space="preserve">مصلحة استثمار مرفأ طرابلس </w:t>
            </w:r>
          </w:p>
        </w:tc>
      </w:tr>
      <w:tr w:rsidR="00C619BB" w14:paraId="1FF157B3" w14:textId="77777777" w:rsidTr="00C619BB">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84C79DB" w14:textId="77777777" w:rsidR="00C619BB" w:rsidRDefault="00C619BB">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18EB8F9E" w14:textId="77777777" w:rsidR="00C619BB" w:rsidRDefault="00C619BB">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C619BB" w14:paraId="0162E02D" w14:textId="77777777" w:rsidTr="00C619BB">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08BE2374" w14:textId="77777777" w:rsidR="00C619BB" w:rsidRDefault="00C619BB">
            <w:pPr>
              <w:ind w:hanging="2"/>
              <w:jc w:val="both"/>
              <w:rPr>
                <w:bCs/>
                <w:color w:val="000000"/>
                <w:sz w:val="24"/>
                <w:szCs w:val="24"/>
              </w:rPr>
            </w:pPr>
            <w:r>
              <w:rPr>
                <w:bCs/>
                <w:color w:val="000000"/>
                <w:sz w:val="24"/>
                <w:szCs w:val="24"/>
                <w:rtl/>
              </w:rPr>
              <w:t>معلومات عن الصفقة</w:t>
            </w:r>
          </w:p>
        </w:tc>
      </w:tr>
      <w:tr w:rsidR="00C619BB" w14:paraId="77FE7B12" w14:textId="77777777" w:rsidTr="00C619BB">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493ED951" w14:textId="77777777" w:rsidR="00C619BB" w:rsidRDefault="00C619BB">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0B23D065" w14:textId="77777777" w:rsidR="00C619BB" w:rsidRDefault="00C619BB">
            <w:pPr>
              <w:ind w:hanging="2"/>
              <w:rPr>
                <w:color w:val="000000"/>
                <w:sz w:val="26"/>
                <w:szCs w:val="26"/>
              </w:rPr>
            </w:pPr>
          </w:p>
        </w:tc>
      </w:tr>
      <w:tr w:rsidR="00C619BB" w14:paraId="3F961AF5"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8C44D35" w14:textId="77777777" w:rsidR="00C619BB" w:rsidRDefault="00C619BB">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DD2EB35" w14:textId="77777777" w:rsidR="00C619BB" w:rsidRDefault="00C619BB">
            <w:pPr>
              <w:rPr>
                <w:color w:val="000000"/>
                <w:sz w:val="26"/>
                <w:szCs w:val="26"/>
                <w:lang w:bidi="ar-LB"/>
              </w:rPr>
            </w:pPr>
            <w:r>
              <w:rPr>
                <w:rFonts w:cs="Simplified Arabic"/>
                <w:color w:val="000000"/>
                <w:sz w:val="24"/>
                <w:szCs w:val="24"/>
                <w:rtl/>
              </w:rPr>
              <w:t>تجهيز مختبر الصحة والسلامة والبيئة في مرفأ طرابلس</w:t>
            </w:r>
            <w:r>
              <w:rPr>
                <w:rFonts w:ascii="Simplified Arabic" w:hAnsi="Simplified Arabic" w:cs="Simplified Arabic"/>
                <w:color w:val="000000"/>
                <w:sz w:val="26"/>
                <w:szCs w:val="26"/>
                <w:rtl/>
                <w:lang w:eastAsia="fr-CA"/>
              </w:rPr>
              <w:t xml:space="preserve"> </w:t>
            </w:r>
          </w:p>
        </w:tc>
      </w:tr>
      <w:tr w:rsidR="00C619BB" w14:paraId="1C8F8530" w14:textId="77777777" w:rsidTr="00C619BB">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C950683" w14:textId="77777777" w:rsidR="00C619BB" w:rsidRDefault="00C619BB">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C27C3CD" w14:textId="77777777" w:rsidR="00C619BB" w:rsidRDefault="00C619BB">
            <w:pPr>
              <w:rPr>
                <w:rFonts w:cs="Traditional Arabic"/>
                <w:color w:val="000000"/>
                <w:sz w:val="26"/>
                <w:szCs w:val="26"/>
                <w:lang w:bidi="ar-LB"/>
              </w:rPr>
            </w:pPr>
            <w:r>
              <w:rPr>
                <w:rFonts w:cs="Simplified Arabic"/>
                <w:color w:val="000000"/>
                <w:sz w:val="24"/>
                <w:szCs w:val="24"/>
                <w:rtl/>
              </w:rPr>
              <w:t>تجهيز مختبر الصحة والسلامة والبيئة في مرفأ طرابلس</w:t>
            </w:r>
          </w:p>
        </w:tc>
      </w:tr>
      <w:tr w:rsidR="00C619BB" w14:paraId="355BBF7C"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8F543B3" w14:textId="77777777" w:rsidR="00C619BB" w:rsidRDefault="00C619BB">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4330BE3" w14:textId="77777777" w:rsidR="00C619BB" w:rsidRDefault="00C619BB">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C619BB" w14:paraId="1482CD6D"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BCDBE7B" w14:textId="77777777" w:rsidR="00C619BB" w:rsidRDefault="00C619BB">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F1144A2" w14:textId="77777777" w:rsidR="00C619BB" w:rsidRDefault="00C619BB">
            <w:pPr>
              <w:rPr>
                <w:color w:val="000000"/>
                <w:sz w:val="26"/>
                <w:szCs w:val="26"/>
              </w:rPr>
            </w:pPr>
            <w:r>
              <w:rPr>
                <w:rFonts w:cs="Simplified Arabic"/>
                <w:sz w:val="26"/>
                <w:szCs w:val="26"/>
                <w:rtl/>
                <w:lang w:bidi="ar-LB"/>
              </w:rPr>
              <w:t xml:space="preserve">مناقصة عمومية على أساس تقديم الاسعار </w:t>
            </w:r>
          </w:p>
        </w:tc>
      </w:tr>
      <w:tr w:rsidR="00C619BB" w14:paraId="4CDE4763"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90F8884" w14:textId="77777777" w:rsidR="00C619BB" w:rsidRDefault="00C619BB">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3F51973" w14:textId="77777777" w:rsidR="00C619BB" w:rsidRDefault="00C619BB">
            <w:pPr>
              <w:tabs>
                <w:tab w:val="left" w:pos="3645"/>
              </w:tabs>
              <w:jc w:val="both"/>
              <w:rPr>
                <w:color w:val="000000"/>
                <w:sz w:val="24"/>
                <w:szCs w:val="24"/>
                <w:rtl/>
                <w:lang w:bidi="ar-LB"/>
              </w:rPr>
            </w:pPr>
            <w:r>
              <w:rPr>
                <w:rFonts w:cs="Simplified Arabic"/>
                <w:sz w:val="24"/>
                <w:szCs w:val="24"/>
                <w:rtl/>
                <w:lang w:bidi="ar-LB"/>
              </w:rPr>
              <w:t xml:space="preserve">يرسو الإلتزام مؤقتاً على من قدم  أدنى الاسعار ولا تعتبر الصفقة نهائية إلا بعد مرور عشرة ايام على نشر الإدارة لقرار قبول الفائز ( فترة التجميد ). </w:t>
            </w:r>
          </w:p>
        </w:tc>
      </w:tr>
      <w:tr w:rsidR="00C619BB" w14:paraId="6281CE8C"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6658F6A" w14:textId="77777777" w:rsidR="00C619BB" w:rsidRDefault="00C619BB">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13B7EF3" w14:textId="77777777" w:rsidR="00C619BB" w:rsidRDefault="00C619BB">
            <w:pPr>
              <w:ind w:hanging="2"/>
              <w:jc w:val="both"/>
              <w:rPr>
                <w:color w:val="000000"/>
                <w:sz w:val="26"/>
                <w:szCs w:val="26"/>
                <w:rtl/>
              </w:rPr>
            </w:pPr>
            <w:r>
              <w:rPr>
                <w:color w:val="000000"/>
                <w:sz w:val="26"/>
                <w:szCs w:val="26"/>
                <w:rtl/>
              </w:rPr>
              <w:t xml:space="preserve">تم وضع قيمة تقديرية للمشروع  </w:t>
            </w:r>
          </w:p>
        </w:tc>
      </w:tr>
      <w:tr w:rsidR="00C619BB" w14:paraId="5D139933"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8DDB963" w14:textId="77777777" w:rsidR="00C619BB" w:rsidRDefault="00C619BB">
            <w:pPr>
              <w:jc w:val="both"/>
              <w:rPr>
                <w:b/>
                <w:bCs/>
                <w:color w:val="000000"/>
                <w:sz w:val="24"/>
                <w:szCs w:val="24"/>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D1DD8D0" w14:textId="77777777" w:rsidR="00C619BB" w:rsidRDefault="00C619BB">
            <w:pPr>
              <w:ind w:hanging="2"/>
              <w:jc w:val="both"/>
              <w:rPr>
                <w:color w:val="000000"/>
                <w:sz w:val="26"/>
                <w:szCs w:val="26"/>
                <w:rtl/>
              </w:rPr>
            </w:pPr>
            <w:r>
              <w:rPr>
                <w:color w:val="000000"/>
                <w:sz w:val="26"/>
                <w:szCs w:val="26"/>
                <w:rtl/>
              </w:rPr>
              <w:t xml:space="preserve">مجاني </w:t>
            </w:r>
          </w:p>
        </w:tc>
      </w:tr>
      <w:tr w:rsidR="00C619BB" w14:paraId="590461D6" w14:textId="77777777" w:rsidTr="00C619BB">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3E91A1C" w14:textId="77777777" w:rsidR="00C619BB" w:rsidRDefault="00C619BB">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09B832F" w14:textId="77777777" w:rsidR="00C619BB" w:rsidRDefault="00C619BB">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182A3EB0" w14:textId="77777777" w:rsidR="00C619BB" w:rsidRDefault="00C619BB" w:rsidP="00C619BB">
      <w:pPr>
        <w:ind w:hanging="2"/>
        <w:jc w:val="both"/>
        <w:rPr>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C619BB" w14:paraId="4C3C2C3B" w14:textId="77777777" w:rsidTr="00C619BB">
        <w:trPr>
          <w:trHeight w:val="350"/>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27B3A7A7" w14:textId="77777777" w:rsidR="00C619BB" w:rsidRDefault="00C619BB">
            <w:pPr>
              <w:rPr>
                <w:b/>
                <w:bCs/>
                <w:color w:val="000000"/>
                <w:sz w:val="24"/>
                <w:szCs w:val="24"/>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3233709C" w14:textId="77777777" w:rsidR="00C619BB" w:rsidRDefault="00C619BB" w:rsidP="009E4BA5">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14:paraId="7A73DA53"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ضمان العرض .</w:t>
            </w:r>
          </w:p>
          <w:p w14:paraId="498B9132"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نسخة عن عقد تأسيس الشركة في حال وجودها.</w:t>
            </w:r>
          </w:p>
          <w:p w14:paraId="0A4E0C80"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14:paraId="6F423C1A"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14:paraId="5B0894B9"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شهادة تسجيل العارض لدى وزارة المالية – مديرية الواردات (أو صورة طبق الأصل عنها) صالحة بتاريخ جلسة التلزيم.</w:t>
            </w:r>
          </w:p>
          <w:p w14:paraId="733E70F8" w14:textId="77777777" w:rsidR="00C619BB" w:rsidRDefault="00C619BB" w:rsidP="009E4BA5">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 xml:space="preserve">شهادة تسجيل العارض في مديرية الضريبة على القيمة المضافة (أو صورة طبق الأصل عنها) إذا كان خاضعاً لها. </w:t>
            </w:r>
          </w:p>
          <w:p w14:paraId="3D80CC49" w14:textId="77777777" w:rsidR="00C619BB" w:rsidRDefault="00C619BB">
            <w:pPr>
              <w:pStyle w:val="BodyText"/>
              <w:ind w:left="576"/>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وفي حال لم يكن خاضعًا يلتزم العارض بسعره وإن أصبح مسجلًا في هذه المديرية خلال فترة التنفيذ.</w:t>
            </w:r>
          </w:p>
          <w:p w14:paraId="1129DF78" w14:textId="77777777" w:rsidR="00C619BB" w:rsidRDefault="00C619BB" w:rsidP="009E4BA5">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lastRenderedPageBreak/>
              <w:t xml:space="preserve">إفادة تثبت بأن العارض قد </w:t>
            </w:r>
            <w:r>
              <w:rPr>
                <w:rFonts w:cs="Simplified Arabic"/>
                <w:color w:val="000000"/>
                <w:sz w:val="26"/>
                <w:szCs w:val="26"/>
                <w:rtl/>
                <w:lang w:bidi="ar-LB"/>
              </w:rPr>
              <w:t xml:space="preserve">سبق أن نفذ </w:t>
            </w:r>
            <w:r>
              <w:rPr>
                <w:rFonts w:cs="Simplified Arabic"/>
                <w:color w:val="000000"/>
                <w:sz w:val="26"/>
                <w:szCs w:val="26"/>
                <w:rtl/>
              </w:rPr>
              <w:t xml:space="preserve">أعمال </w:t>
            </w:r>
            <w:r>
              <w:rPr>
                <w:rFonts w:cs="Simplified Arabic"/>
                <w:b/>
                <w:bCs/>
                <w:color w:val="000000"/>
                <w:szCs w:val="24"/>
                <w:rtl/>
              </w:rPr>
              <w:t>تجهيز المختبرات مع تقديمهم افادات تثبت تنفيذهم تجهيز ما لا يقل عن 3 مختبرات بقيمة /70000/ $ على الاقل</w:t>
            </w:r>
            <w:r>
              <w:rPr>
                <w:rFonts w:ascii="Simplified Arabic" w:hAnsi="Simplified Arabic" w:cs="Simplified Arabic"/>
                <w:color w:val="000000"/>
                <w:sz w:val="26"/>
                <w:szCs w:val="26"/>
                <w:rtl/>
                <w:lang w:eastAsia="fr-CA"/>
              </w:rPr>
              <w:t xml:space="preserve"> . </w:t>
            </w:r>
          </w:p>
          <w:p w14:paraId="0E6EB4FF"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 xml:space="preserve">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 </w:t>
            </w:r>
          </w:p>
          <w:p w14:paraId="4822492B" w14:textId="77777777" w:rsidR="00C619BB" w:rsidRDefault="00C619BB" w:rsidP="009E4BA5">
            <w:pPr>
              <w:pStyle w:val="ListParagraph"/>
              <w:numPr>
                <w:ilvl w:val="0"/>
                <w:numId w:val="1"/>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 xml:space="preserve">التفويض القانوني إذا وقّع العرض شخص غير الشخص الذي يملك حق التوقيع عن العارض بحسب الإذاعة التجارية, مصدق لدى كاتب بالعدل. </w:t>
            </w:r>
          </w:p>
          <w:p w14:paraId="665DC8BE" w14:textId="77777777" w:rsidR="00C619BB" w:rsidRDefault="00C619BB" w:rsidP="009E4BA5">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إفادة شاملة صادرة عن السجل التجاري تبيّن: المؤسسين، الأعضاء، المساهمين، المفوضين بالتوقيع، المدير، رأس المال، نشاط العارض، الوقوعات الجارية. </w:t>
            </w:r>
          </w:p>
          <w:p w14:paraId="36EAFDDC" w14:textId="77777777" w:rsidR="00C619BB" w:rsidRDefault="00C619BB" w:rsidP="009E4BA5">
            <w:pPr>
              <w:pStyle w:val="ListParagraph"/>
              <w:numPr>
                <w:ilvl w:val="0"/>
                <w:numId w:val="1"/>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 xml:space="preserve">إفادة صادرة عن المحكمة المختصة (السجل التجاري) تُثبت أن العارض ليس في حالة إفلاس وتصفية. </w:t>
            </w:r>
          </w:p>
          <w:p w14:paraId="7019BCC8" w14:textId="77777777" w:rsidR="00C619BB" w:rsidRDefault="00C619BB" w:rsidP="009E4BA5">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266C3906" w14:textId="77777777" w:rsidR="00C619BB" w:rsidRDefault="00C619BB" w:rsidP="009E4BA5">
            <w:pPr>
              <w:pStyle w:val="ListParagraph"/>
              <w:numPr>
                <w:ilvl w:val="0"/>
                <w:numId w:val="1"/>
              </w:numPr>
              <w:bidi/>
              <w:spacing w:after="0"/>
              <w:jc w:val="both"/>
              <w:rPr>
                <w:rFonts w:ascii="Simplified Arabic" w:eastAsia="Times New Roman" w:hAnsi="Simplified Arabic" w:cs="Simplified Arabic"/>
                <w:noProof w:val="0"/>
                <w:color w:val="000000"/>
                <w:sz w:val="26"/>
                <w:szCs w:val="26"/>
                <w:rtl/>
                <w:lang w:val="fr-CA" w:eastAsia="fr-CA"/>
              </w:rPr>
            </w:pPr>
            <w:r>
              <w:rPr>
                <w:rFonts w:ascii="Simplified Arabic" w:eastAsia="Times New Roman" w:hAnsi="Simplified Arabic" w:cs="Simplified Arabic"/>
                <w:noProof w:val="0"/>
                <w:color w:val="000000"/>
                <w:sz w:val="26"/>
                <w:szCs w:val="26"/>
                <w:rtl/>
                <w:lang w:val="fr-CA" w:eastAsia="fr-CA"/>
              </w:rPr>
              <w:t xml:space="preserve">تصريح من العارض يبيّن صاحب الحق الإقتصادي حتى آخر درجة ملكية (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14:paraId="20D4521B" w14:textId="77777777" w:rsidR="00C619BB" w:rsidRDefault="00C619BB" w:rsidP="009E4BA5">
            <w:pPr>
              <w:pStyle w:val="ListParagraph"/>
              <w:numPr>
                <w:ilvl w:val="0"/>
                <w:numId w:val="1"/>
              </w:numPr>
              <w:bidi/>
              <w:spacing w:after="0"/>
              <w:jc w:val="both"/>
              <w:rPr>
                <w:rFonts w:ascii="Simplified Arabic" w:eastAsia="Times New Roman" w:hAnsi="Simplified Arabic" w:cs="Simplified Arabic"/>
                <w:noProof w:val="0"/>
                <w:color w:val="000000"/>
                <w:sz w:val="26"/>
                <w:szCs w:val="26"/>
                <w:lang w:val="fr-CA" w:eastAsia="fr-CA"/>
              </w:rPr>
            </w:pPr>
            <w:r>
              <w:rPr>
                <w:rFonts w:ascii="Simplified Arabic" w:eastAsia="Times New Roman" w:hAnsi="Simplified Arabic" w:cs="Simplified Arabic"/>
                <w:noProof w:val="0"/>
                <w:color w:val="000000"/>
                <w:sz w:val="26"/>
                <w:szCs w:val="26"/>
                <w:rtl/>
                <w:lang w:val="fr-CA" w:eastAsia="fr-CA"/>
              </w:rPr>
              <w:t>نموذج تصريح النزاهة الصادر عن هيئة الشراء العام.</w:t>
            </w:r>
          </w:p>
          <w:p w14:paraId="0C5E8EC2"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إف</w:t>
            </w:r>
            <w:r>
              <w:rPr>
                <w:rFonts w:ascii="Simplified Arabic" w:hAnsi="Simplified Arabic" w:cs="Simplified Arabic"/>
                <w:color w:val="000000"/>
                <w:sz w:val="26"/>
                <w:szCs w:val="26"/>
                <w:rtl/>
                <w:lang w:eastAsia="fr-CA" w:bidi="ar-LB"/>
              </w:rPr>
              <w:t>ادة عدم إقصاء صادرة عن مصلحة إستثمار مرفأ طرابلس لا يعود تاريخها لأكثر من ثلاثة أشهر من تاريخ جلسة التلزيم.</w:t>
            </w:r>
          </w:p>
          <w:p w14:paraId="22975DC1"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دفتر الشروط القانوني والإداري مؤشّرٌ وموقــــّعٌ على جميع صفحاته خيرة بإمضاء وختم العارض.</w:t>
            </w:r>
          </w:p>
          <w:p w14:paraId="23F46E36"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دفتر المواصفات الفنية مؤشّرٌ وموقــــّعٌ على جميع صفحاته بإمضاء وختم العارض.</w:t>
            </w:r>
          </w:p>
          <w:p w14:paraId="7334D0D3" w14:textId="77777777" w:rsidR="00C619BB" w:rsidRDefault="00C619BB" w:rsidP="009E4BA5">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bidi="ar-LB"/>
              </w:rPr>
              <w:t>التعهد برفع السرية المصرفية .</w:t>
            </w:r>
          </w:p>
        </w:tc>
      </w:tr>
      <w:tr w:rsidR="00C619BB" w14:paraId="470746C8" w14:textId="77777777" w:rsidTr="00C619BB">
        <w:trPr>
          <w:trHeight w:val="683"/>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3B79BDC2" w14:textId="77777777" w:rsidR="00C619BB" w:rsidRDefault="00C619BB">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48718BA6" w14:textId="77777777" w:rsidR="00C619BB" w:rsidRDefault="00C619BB">
            <w:pPr>
              <w:rPr>
                <w:color w:val="000000"/>
                <w:sz w:val="26"/>
                <w:szCs w:val="26"/>
                <w:highlight w:val="yellow"/>
              </w:rPr>
            </w:pPr>
            <w:r>
              <w:rPr>
                <w:rFonts w:cs="Simplified Arabic"/>
                <w:sz w:val="26"/>
                <w:szCs w:val="26"/>
                <w:rtl/>
                <w:lang w:bidi="ar-LB"/>
              </w:rPr>
              <w:t>يوم الاربعاء الواقع فيه 29/11/2023 عند الساعة الثانية عشرة ظهراً</w:t>
            </w:r>
            <w:r>
              <w:rPr>
                <w:color w:val="000000"/>
                <w:sz w:val="26"/>
                <w:szCs w:val="26"/>
                <w:rtl/>
                <w:lang w:bidi="ar-LB"/>
              </w:rPr>
              <w:t xml:space="preserve"> </w:t>
            </w:r>
          </w:p>
        </w:tc>
      </w:tr>
      <w:tr w:rsidR="00C619BB" w14:paraId="0BB6464E" w14:textId="77777777" w:rsidTr="00C619BB">
        <w:trPr>
          <w:trHeight w:val="125"/>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7D333A93" w14:textId="77777777" w:rsidR="00C619BB" w:rsidRDefault="00C619BB">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315B0407" w14:textId="77777777" w:rsidR="00C619BB" w:rsidRDefault="00C619BB">
            <w:pPr>
              <w:ind w:hanging="2"/>
              <w:rPr>
                <w:color w:val="000000"/>
                <w:sz w:val="24"/>
                <w:szCs w:val="24"/>
                <w:highlight w:val="yellow"/>
                <w:rtl/>
              </w:rPr>
            </w:pPr>
          </w:p>
        </w:tc>
      </w:tr>
      <w:tr w:rsidR="00C619BB" w14:paraId="2A3B992D" w14:textId="77777777" w:rsidTr="00C619BB">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6AB3D5EE" w14:textId="77777777" w:rsidR="00C619BB" w:rsidRDefault="00C619BB">
            <w:pPr>
              <w:rPr>
                <w:b/>
                <w:bCs/>
                <w:color w:val="404040"/>
                <w:sz w:val="24"/>
                <w:szCs w:val="24"/>
              </w:rPr>
            </w:pPr>
            <w:r>
              <w:rPr>
                <w:b/>
                <w:bCs/>
                <w:color w:val="404040"/>
                <w:sz w:val="24"/>
                <w:szCs w:val="24"/>
                <w:rtl/>
              </w:rPr>
              <w:lastRenderedPageBreak/>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10230320" w14:textId="77777777" w:rsidR="00C619BB" w:rsidRDefault="00C619BB">
            <w:pPr>
              <w:rPr>
                <w:color w:val="000000"/>
                <w:sz w:val="26"/>
                <w:szCs w:val="26"/>
                <w:rtl/>
              </w:rPr>
            </w:pPr>
            <w:r>
              <w:rPr>
                <w:color w:val="000000"/>
                <w:sz w:val="26"/>
                <w:szCs w:val="26"/>
                <w:rtl/>
              </w:rPr>
              <w:t xml:space="preserve">يوم الاربعاء الواقع فيه 8/11/2023 </w:t>
            </w:r>
          </w:p>
        </w:tc>
      </w:tr>
      <w:tr w:rsidR="00C619BB" w14:paraId="2D42526C" w14:textId="77777777" w:rsidTr="00C619BB">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B700FD0" w14:textId="77777777" w:rsidR="00C619BB" w:rsidRDefault="00C619BB">
            <w:pPr>
              <w:rPr>
                <w:b/>
                <w:bCs/>
                <w:color w:val="404040"/>
                <w:sz w:val="24"/>
                <w:szCs w:val="24"/>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51B8ECF" w14:textId="77777777" w:rsidR="00C619BB" w:rsidRDefault="00C619BB">
            <w:pPr>
              <w:ind w:hanging="2"/>
              <w:jc w:val="both"/>
              <w:rPr>
                <w:color w:val="000000"/>
                <w:sz w:val="26"/>
                <w:szCs w:val="26"/>
              </w:rPr>
            </w:pPr>
            <w:r>
              <w:rPr>
                <w:color w:val="000000"/>
                <w:sz w:val="26"/>
                <w:szCs w:val="26"/>
                <w:rtl/>
              </w:rPr>
              <w:t xml:space="preserve">يوم الإثنين الواقع فيه 13/11/2023 </w:t>
            </w:r>
          </w:p>
        </w:tc>
      </w:tr>
      <w:tr w:rsidR="00C619BB" w14:paraId="1F6E971F" w14:textId="77777777" w:rsidTr="00C619BB">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6460CE0D" w14:textId="77777777" w:rsidR="00C619BB" w:rsidRDefault="00C619BB">
            <w:pPr>
              <w:rPr>
                <w:b/>
                <w:bCs/>
                <w:color w:val="404040"/>
                <w:sz w:val="24"/>
                <w:szCs w:val="24"/>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70CDBA3D" w14:textId="77777777" w:rsidR="00C619BB" w:rsidRDefault="00C619BB">
            <w:pPr>
              <w:ind w:hanging="2"/>
              <w:rPr>
                <w:color w:val="000000"/>
                <w:sz w:val="26"/>
                <w:szCs w:val="26"/>
                <w:highlight w:val="yellow"/>
              </w:rPr>
            </w:pPr>
            <w:r>
              <w:rPr>
                <w:rFonts w:cs="Simplified Arabic"/>
                <w:sz w:val="26"/>
                <w:szCs w:val="26"/>
                <w:rtl/>
                <w:lang w:bidi="ar-LB"/>
              </w:rPr>
              <w:t>يوم الاربعاء الواقع فيه 29/11/2023 قبل الساعة الثانية عشرة ظهراً</w:t>
            </w:r>
          </w:p>
        </w:tc>
      </w:tr>
      <w:tr w:rsidR="00C619BB" w14:paraId="19B4A2CC" w14:textId="77777777" w:rsidTr="00C619BB">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70A83588" w14:textId="77777777" w:rsidR="00C619BB" w:rsidRDefault="00C619BB">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001AA83B" w14:textId="77777777" w:rsidR="00C619BB" w:rsidRDefault="00C619BB">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إعتباراً من يوم الإثنين الواقع في 23/10/2023</w:t>
            </w:r>
          </w:p>
        </w:tc>
      </w:tr>
      <w:tr w:rsidR="00C619BB" w14:paraId="28DEBC5C" w14:textId="77777777" w:rsidTr="00C619BB">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1D62AE7" w14:textId="77777777" w:rsidR="00C619BB" w:rsidRDefault="00C619BB">
            <w:pPr>
              <w:rPr>
                <w:b/>
                <w:bCs/>
                <w:color w:val="000000"/>
                <w:sz w:val="24"/>
                <w:szCs w:val="24"/>
                <w:rtl/>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5038AA01" w14:textId="77777777" w:rsidR="00C619BB" w:rsidRDefault="00C619BB">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C619BB" w14:paraId="29DB36CD" w14:textId="77777777" w:rsidTr="00C619BB">
        <w:trPr>
          <w:trHeight w:val="70"/>
          <w:jc w:val="center"/>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03ECE0A7" w14:textId="77777777" w:rsidR="00C619BB" w:rsidRDefault="00C619BB">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3173283B" w14:textId="77777777" w:rsidR="00C619BB" w:rsidRDefault="00C619BB">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C619BB" w14:paraId="6E638C71" w14:textId="77777777" w:rsidTr="00C619BB">
        <w:trPr>
          <w:trHeight w:val="70"/>
          <w:jc w:val="center"/>
        </w:trPr>
        <w:tc>
          <w:tcPr>
            <w:tcW w:w="10637" w:type="dxa"/>
            <w:gridSpan w:val="3"/>
            <w:tcBorders>
              <w:top w:val="single" w:sz="4" w:space="0" w:color="000000"/>
              <w:left w:val="single" w:sz="4" w:space="0" w:color="000000"/>
              <w:bottom w:val="single" w:sz="4" w:space="0" w:color="000000"/>
              <w:right w:val="single" w:sz="4" w:space="0" w:color="000000"/>
            </w:tcBorders>
            <w:vAlign w:val="center"/>
            <w:hideMark/>
          </w:tcPr>
          <w:p w14:paraId="59D2285E" w14:textId="77777777" w:rsidR="00C619BB" w:rsidRDefault="00C619BB">
            <w:pPr>
              <w:ind w:hanging="2"/>
              <w:jc w:val="both"/>
              <w:rPr>
                <w:bCs/>
                <w:color w:val="404040"/>
                <w:sz w:val="24"/>
                <w:szCs w:val="24"/>
              </w:rPr>
            </w:pPr>
            <w:r>
              <w:rPr>
                <w:bCs/>
                <w:color w:val="404040"/>
                <w:sz w:val="24"/>
                <w:szCs w:val="24"/>
                <w:rtl/>
              </w:rPr>
              <w:t>ضمان العرض</w:t>
            </w:r>
          </w:p>
        </w:tc>
      </w:tr>
      <w:tr w:rsidR="00C619BB" w14:paraId="79C7A2D7" w14:textId="77777777" w:rsidTr="00C619BB">
        <w:trPr>
          <w:trHeight w:val="350"/>
          <w:jc w:val="center"/>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7C0FB346" w14:textId="77777777" w:rsidR="00C619BB" w:rsidRDefault="00C619BB">
            <w:pPr>
              <w:ind w:hanging="2"/>
              <w:jc w:val="both"/>
              <w:rPr>
                <w:b/>
                <w:bCs/>
                <w:color w:val="404040"/>
                <w:sz w:val="24"/>
                <w:szCs w:val="24"/>
              </w:rPr>
            </w:pPr>
            <w:r>
              <w:rPr>
                <w:b/>
                <w:bCs/>
                <w:color w:val="404040"/>
                <w:sz w:val="24"/>
                <w:szCs w:val="24"/>
                <w:rtl/>
              </w:rPr>
              <w:t>قيمة ضمان العرض</w:t>
            </w:r>
          </w:p>
        </w:tc>
        <w:tc>
          <w:tcPr>
            <w:tcW w:w="7497" w:type="dxa"/>
            <w:tcBorders>
              <w:top w:val="single" w:sz="4" w:space="0" w:color="000000"/>
              <w:left w:val="single" w:sz="4" w:space="0" w:color="000000"/>
              <w:bottom w:val="dotted" w:sz="4" w:space="0" w:color="000000"/>
              <w:right w:val="single" w:sz="4" w:space="0" w:color="000000"/>
            </w:tcBorders>
            <w:vAlign w:val="center"/>
            <w:hideMark/>
          </w:tcPr>
          <w:p w14:paraId="015D77C0" w14:textId="77777777" w:rsidR="00C619BB" w:rsidRDefault="00C619BB">
            <w:pPr>
              <w:ind w:hanging="2"/>
              <w:jc w:val="both"/>
              <w:rPr>
                <w:color w:val="404040"/>
                <w:sz w:val="26"/>
                <w:szCs w:val="26"/>
                <w:rtl/>
              </w:rPr>
            </w:pPr>
            <w:r>
              <w:rPr>
                <w:rFonts w:cs="Simplified Arabic"/>
                <w:sz w:val="26"/>
                <w:szCs w:val="26"/>
                <w:lang w:bidi="ar-LB"/>
              </w:rPr>
              <w:t>450 $</w:t>
            </w:r>
            <w:r>
              <w:rPr>
                <w:color w:val="404040"/>
                <w:sz w:val="26"/>
                <w:szCs w:val="26"/>
              </w:rPr>
              <w:t xml:space="preserve"> </w:t>
            </w:r>
            <w:r>
              <w:rPr>
                <w:color w:val="404040"/>
                <w:sz w:val="26"/>
                <w:szCs w:val="26"/>
                <w:rtl/>
              </w:rPr>
              <w:t xml:space="preserve"> </w:t>
            </w:r>
            <w:r>
              <w:rPr>
                <w:rFonts w:hint="cs"/>
                <w:color w:val="404040"/>
                <w:sz w:val="26"/>
                <w:szCs w:val="26"/>
                <w:rtl/>
              </w:rPr>
              <w:t xml:space="preserve">(فقط </w:t>
            </w:r>
            <w:r>
              <w:rPr>
                <w:color w:val="404040"/>
                <w:sz w:val="26"/>
                <w:szCs w:val="26"/>
                <w:rtl/>
                <w:lang w:bidi="ar-LB"/>
              </w:rPr>
              <w:t>أربعمائة وخمسون د</w:t>
            </w:r>
            <w:r>
              <w:rPr>
                <w:color w:val="404040"/>
                <w:sz w:val="26"/>
                <w:szCs w:val="26"/>
                <w:rtl/>
              </w:rPr>
              <w:t>ولاراً أميركياً لا غير)</w:t>
            </w:r>
          </w:p>
        </w:tc>
      </w:tr>
      <w:tr w:rsidR="00C619BB" w14:paraId="04410DDB" w14:textId="77777777" w:rsidTr="00C619BB">
        <w:trPr>
          <w:trHeight w:val="413"/>
          <w:jc w:val="center"/>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7ABF04BE" w14:textId="77777777" w:rsidR="00C619BB" w:rsidRDefault="00C619BB">
            <w:pPr>
              <w:ind w:hanging="2"/>
              <w:jc w:val="both"/>
              <w:rPr>
                <w:b/>
                <w:bCs/>
                <w:color w:val="404040"/>
                <w:sz w:val="24"/>
                <w:szCs w:val="24"/>
              </w:rPr>
            </w:pPr>
            <w:r>
              <w:rPr>
                <w:b/>
                <w:bCs/>
                <w:color w:val="404040"/>
                <w:sz w:val="24"/>
                <w:szCs w:val="24"/>
                <w:rtl/>
              </w:rPr>
              <w:t>مدة صلاحية ضمان العرض</w:t>
            </w:r>
          </w:p>
        </w:tc>
        <w:tc>
          <w:tcPr>
            <w:tcW w:w="7497" w:type="dxa"/>
            <w:tcBorders>
              <w:top w:val="dotted" w:sz="4" w:space="0" w:color="000000"/>
              <w:left w:val="single" w:sz="4" w:space="0" w:color="000000"/>
              <w:bottom w:val="single" w:sz="4" w:space="0" w:color="000000"/>
              <w:right w:val="single" w:sz="4" w:space="0" w:color="000000"/>
            </w:tcBorders>
            <w:vAlign w:val="center"/>
            <w:hideMark/>
          </w:tcPr>
          <w:p w14:paraId="0D25F552" w14:textId="77777777" w:rsidR="00C619BB" w:rsidRDefault="00C619BB">
            <w:pPr>
              <w:ind w:hanging="2"/>
              <w:jc w:val="both"/>
              <w:rPr>
                <w:color w:val="404040"/>
                <w:sz w:val="26"/>
                <w:szCs w:val="26"/>
              </w:rPr>
            </w:pPr>
            <w:r>
              <w:rPr>
                <w:color w:val="000000"/>
                <w:sz w:val="26"/>
                <w:szCs w:val="26"/>
                <w:rtl/>
              </w:rPr>
              <w:t xml:space="preserve">أربعة أشهر </w:t>
            </w:r>
          </w:p>
        </w:tc>
      </w:tr>
      <w:tr w:rsidR="00C619BB" w14:paraId="22247D1B" w14:textId="77777777" w:rsidTr="00C619BB">
        <w:trPr>
          <w:trHeight w:val="70"/>
          <w:jc w:val="center"/>
        </w:trPr>
        <w:tc>
          <w:tcPr>
            <w:tcW w:w="10637" w:type="dxa"/>
            <w:gridSpan w:val="3"/>
            <w:tcBorders>
              <w:top w:val="single" w:sz="4" w:space="0" w:color="000000"/>
              <w:left w:val="single" w:sz="4" w:space="0" w:color="000000"/>
              <w:bottom w:val="single" w:sz="4" w:space="0" w:color="auto"/>
              <w:right w:val="single" w:sz="4" w:space="0" w:color="000000"/>
            </w:tcBorders>
            <w:vAlign w:val="center"/>
            <w:hideMark/>
          </w:tcPr>
          <w:p w14:paraId="4EBD2D7A" w14:textId="77777777" w:rsidR="00C619BB" w:rsidRDefault="00C619BB">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4A866D86" w14:textId="77777777" w:rsidR="00C619BB" w:rsidRDefault="00C619BB">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6CE03CF6" w14:textId="77777777" w:rsidR="00C619BB" w:rsidRDefault="00C619BB" w:rsidP="00C619BB">
      <w:pPr>
        <w:rPr>
          <w:lang w:bidi="ar-LB"/>
        </w:rPr>
      </w:pPr>
    </w:p>
    <w:p w14:paraId="01D5AE79" w14:textId="77777777" w:rsidR="00C619BB" w:rsidRDefault="00C619BB" w:rsidP="00C619BB">
      <w:pPr>
        <w:spacing w:line="312" w:lineRule="auto"/>
        <w:jc w:val="center"/>
        <w:rPr>
          <w:lang w:bidi="ar-LB"/>
        </w:rPr>
      </w:pPr>
    </w:p>
    <w:p w14:paraId="1DB5F1A8" w14:textId="77777777" w:rsidR="00C66294" w:rsidRPr="00C619BB" w:rsidRDefault="00C66294"/>
    <w:sectPr w:rsidR="00C66294" w:rsidRPr="00C61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7865"/>
    <w:multiLevelType w:val="hybridMultilevel"/>
    <w:tmpl w:val="5CDCFC6C"/>
    <w:lvl w:ilvl="0" w:tplc="F41C7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8C605E"/>
    <w:multiLevelType w:val="hybridMultilevel"/>
    <w:tmpl w:val="5CDCFC6C"/>
    <w:lvl w:ilvl="0" w:tplc="F41C7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34061E"/>
    <w:multiLevelType w:val="hybridMultilevel"/>
    <w:tmpl w:val="5CDCFC6C"/>
    <w:lvl w:ilvl="0" w:tplc="F41C7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BB"/>
    <w:rsid w:val="00132E4B"/>
    <w:rsid w:val="00C619BB"/>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C4BD"/>
  <w15:chartTrackingRefBased/>
  <w15:docId w15:val="{1DD16680-691C-40FF-B37E-B2B9F25A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BB"/>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C619BB"/>
    <w:pPr>
      <w:jc w:val="lowKashida"/>
    </w:pPr>
    <w:rPr>
      <w:rFonts w:cs="Traditional Arabic"/>
      <w:noProof w:val="0"/>
      <w:sz w:val="24"/>
      <w:lang w:val="fr-CA"/>
    </w:rPr>
  </w:style>
  <w:style w:type="character" w:customStyle="1" w:styleId="BodyTextChar">
    <w:name w:val="Body Text Char"/>
    <w:basedOn w:val="DefaultParagraphFont"/>
    <w:link w:val="BodyText"/>
    <w:semiHidden/>
    <w:rsid w:val="00C619BB"/>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10855">
      <w:bodyDiv w:val="1"/>
      <w:marLeft w:val="0"/>
      <w:marRight w:val="0"/>
      <w:marTop w:val="0"/>
      <w:marBottom w:val="0"/>
      <w:divBdr>
        <w:top w:val="none" w:sz="0" w:space="0" w:color="auto"/>
        <w:left w:val="none" w:sz="0" w:space="0" w:color="auto"/>
        <w:bottom w:val="none" w:sz="0" w:space="0" w:color="auto"/>
        <w:right w:val="none" w:sz="0" w:space="0" w:color="auto"/>
      </w:divBdr>
    </w:div>
    <w:div w:id="654339665">
      <w:bodyDiv w:val="1"/>
      <w:marLeft w:val="0"/>
      <w:marRight w:val="0"/>
      <w:marTop w:val="0"/>
      <w:marBottom w:val="0"/>
      <w:divBdr>
        <w:top w:val="none" w:sz="0" w:space="0" w:color="auto"/>
        <w:left w:val="none" w:sz="0" w:space="0" w:color="auto"/>
        <w:bottom w:val="none" w:sz="0" w:space="0" w:color="auto"/>
        <w:right w:val="none" w:sz="0" w:space="0" w:color="auto"/>
      </w:divBdr>
    </w:div>
    <w:div w:id="15895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2023-10-18T11:02:00Z</dcterms:created>
  <dcterms:modified xsi:type="dcterms:W3CDTF">2023-10-18T11:03:00Z</dcterms:modified>
</cp:coreProperties>
</file>