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6D5" w:rsidRDefault="003E36D5" w:rsidP="00CB54CE">
      <w:pPr>
        <w:bidi/>
      </w:pPr>
    </w:p>
    <w:p w:rsidR="005237DE" w:rsidRPr="00CB54CE" w:rsidRDefault="00CB54CE" w:rsidP="005237DE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CB54CE">
        <w:rPr>
          <w:rFonts w:asciiTheme="majorBidi" w:hAnsiTheme="majorBidi" w:cstheme="majorBidi"/>
          <w:b/>
          <w:bCs/>
          <w:sz w:val="32"/>
          <w:szCs w:val="32"/>
          <w:rtl/>
        </w:rPr>
        <w:t>دعوة للإعلان عن مناقصة عمومية</w:t>
      </w:r>
    </w:p>
    <w:p w:rsidR="00CB54CE" w:rsidRPr="00CB54CE" w:rsidRDefault="00CB54CE" w:rsidP="00CB54CE">
      <w:pPr>
        <w:bidi/>
        <w:jc w:val="center"/>
        <w:rPr>
          <w:rFonts w:asciiTheme="majorBidi" w:hAnsiTheme="majorBidi" w:cstheme="majorBidi"/>
          <w:b/>
          <w:sz w:val="28"/>
          <w:szCs w:val="28"/>
        </w:rPr>
      </w:pPr>
      <w:r w:rsidRPr="00CB54CE">
        <w:rPr>
          <w:rFonts w:asciiTheme="majorBidi" w:hAnsiTheme="majorBidi" w:cstheme="majorBidi"/>
          <w:b/>
          <w:sz w:val="28"/>
          <w:szCs w:val="28"/>
          <w:rtl/>
        </w:rPr>
        <w:t>عملًا بالمذكرة رقم 4/ه.ش.ع/2022</w:t>
      </w:r>
    </w:p>
    <w:p w:rsidR="00CB54CE" w:rsidRPr="00CB54CE" w:rsidRDefault="00CB54CE" w:rsidP="00CB54CE">
      <w:pPr>
        <w:bidi/>
        <w:jc w:val="center"/>
        <w:rPr>
          <w:rFonts w:asciiTheme="majorBidi" w:hAnsiTheme="majorBidi" w:cstheme="majorBidi"/>
          <w:b/>
          <w:sz w:val="28"/>
          <w:szCs w:val="28"/>
        </w:rPr>
      </w:pPr>
      <w:r w:rsidRPr="00CB54CE">
        <w:rPr>
          <w:rFonts w:asciiTheme="majorBidi" w:hAnsiTheme="majorBidi" w:cstheme="majorBidi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CB54CE" w:rsidRPr="00CB54CE" w:rsidTr="00CB54CE">
        <w:trPr>
          <w:trHeight w:val="674"/>
          <w:jc w:val="right"/>
        </w:trPr>
        <w:tc>
          <w:tcPr>
            <w:tcW w:w="2177" w:type="dxa"/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Cs/>
                <w:sz w:val="28"/>
                <w:szCs w:val="28"/>
                <w:u w:val="single"/>
              </w:rPr>
            </w:pPr>
            <w:r w:rsidRPr="00CB54CE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CB54CE" w:rsidRPr="00CB54CE" w:rsidRDefault="00CB54CE" w:rsidP="00CB54CE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40"/>
                <w:lang w:bidi="ar-LB"/>
              </w:rPr>
            </w:pPr>
            <w:r w:rsidRPr="00E52DFE">
              <w:rPr>
                <w:rFonts w:ascii="Times New Roman" w:eastAsia="Simplified Arabic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>إدارة وإستثمار مرفأ بيروت</w:t>
            </w:r>
          </w:p>
        </w:tc>
      </w:tr>
      <w:tr w:rsidR="00CB54CE" w:rsidRPr="00CB54CE" w:rsidTr="00CB54CE">
        <w:trPr>
          <w:trHeight w:val="800"/>
          <w:jc w:val="right"/>
        </w:trPr>
        <w:tc>
          <w:tcPr>
            <w:tcW w:w="2177" w:type="dxa"/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CB54CE" w:rsidRPr="00D63761" w:rsidRDefault="00E52DFE" w:rsidP="00424EE3">
            <w:pPr>
              <w:bidi/>
              <w:spacing w:after="0" w:line="240" w:lineRule="auto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D84357">
              <w:rPr>
                <w:rFonts w:ascii="Times New Roman" w:eastAsia="Simplified Arabic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مرفأ بيروت -منطقة الكر</w:t>
            </w:r>
            <w:r w:rsidRPr="00D84357">
              <w:rPr>
                <w:rFonts w:ascii="Times New Roman" w:eastAsia="Simplified Arabic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نتينا </w:t>
            </w:r>
            <w:r w:rsidRPr="00D84357">
              <w:rPr>
                <w:rFonts w:ascii="Times New Roman" w:eastAsia="Simplified Arabic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–</w:t>
            </w:r>
            <w:r w:rsidRPr="00D84357">
              <w:rPr>
                <w:rFonts w:ascii="Times New Roman" w:eastAsia="Simplified Arabic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D84357">
              <w:rPr>
                <w:rFonts w:ascii="Times New Roman" w:eastAsia="Simplified Arabic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بيروت</w:t>
            </w:r>
            <w:r w:rsidRPr="00D84357">
              <w:rPr>
                <w:rFonts w:ascii="Times New Roman" w:eastAsia="Simplified Arabic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D84357">
              <w:rPr>
                <w:rFonts w:ascii="Times New Roman" w:eastAsia="Simplified Arabic" w:hAnsi="Times New Roman" w:cs="Times New Roman"/>
                <w:b/>
                <w:bCs/>
                <w:i/>
                <w:iCs/>
                <w:sz w:val="28"/>
                <w:szCs w:val="28"/>
                <w:rtl/>
              </w:rPr>
              <w:t>لبنان</w:t>
            </w:r>
            <w:r w:rsidRPr="00D84357">
              <w:rPr>
                <w:rFonts w:ascii="Times New Roman" w:eastAsia="Simplified Arabic" w:hAnsi="Times New Roman" w:cs="Times New Roman" w:hint="cs"/>
                <w:b/>
                <w:bCs/>
                <w:i/>
                <w:iCs/>
                <w:sz w:val="28"/>
                <w:szCs w:val="28"/>
                <w:rtl/>
              </w:rPr>
              <w:t xml:space="preserve"> ( مدخل المرفأ مقابل البوابة رقم 14- المباني الإدارية / بلوك </w:t>
            </w:r>
            <w:r w:rsidRPr="00D84357">
              <w:rPr>
                <w:rFonts w:ascii="Times New Roman" w:eastAsia="Simplified Arabic" w:hAnsi="Times New Roman" w:cs="Times New Roman"/>
                <w:b/>
                <w:bCs/>
                <w:i/>
                <w:iCs/>
                <w:sz w:val="28"/>
                <w:szCs w:val="28"/>
              </w:rPr>
              <w:t>C</w:t>
            </w:r>
            <w:r w:rsidRPr="00D84357">
              <w:rPr>
                <w:rFonts w:ascii="Times New Roman" w:eastAsia="Simplified Arabic" w:hAnsi="Times New Roman" w:cs="Times New Roman" w:hint="cs"/>
                <w:b/>
                <w:bCs/>
                <w:i/>
                <w:iCs/>
                <w:sz w:val="28"/>
                <w:szCs w:val="28"/>
                <w:rtl/>
                <w:lang w:bidi="ar-LB"/>
              </w:rPr>
              <w:t xml:space="preserve"> )</w:t>
            </w:r>
          </w:p>
        </w:tc>
      </w:tr>
    </w:tbl>
    <w:p w:rsidR="00CB54CE" w:rsidRPr="00CB54CE" w:rsidRDefault="00CB54CE" w:rsidP="00CB54CE">
      <w:pPr>
        <w:bidi/>
        <w:rPr>
          <w:rFonts w:asciiTheme="majorBidi" w:hAnsiTheme="majorBidi" w:cstheme="majorBidi"/>
          <w:sz w:val="24"/>
          <w:szCs w:val="24"/>
        </w:rPr>
      </w:pPr>
    </w:p>
    <w:tbl>
      <w:tblPr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CB54CE" w:rsidRPr="00CB54CE" w:rsidTr="006E50A6">
        <w:trPr>
          <w:trHeight w:val="953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6E50A6">
              <w:rPr>
                <w:rFonts w:asciiTheme="majorBidi" w:hAnsiTheme="majorBidi" w:cstheme="majorBidi"/>
                <w:bCs/>
                <w:sz w:val="32"/>
                <w:szCs w:val="32"/>
                <w:rtl/>
              </w:rPr>
              <w:t>معلومات عن الصفقة</w:t>
            </w:r>
          </w:p>
        </w:tc>
      </w:tr>
      <w:tr w:rsidR="00CB54CE" w:rsidRPr="00CB54CE" w:rsidTr="006E50A6">
        <w:trPr>
          <w:trHeight w:val="719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B54CE" w:rsidRDefault="00335B47" w:rsidP="00CB54CE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D33E51">
              <w:rPr>
                <w:rFonts w:asciiTheme="majorBidi" w:hAnsiTheme="majorBidi" w:cstheme="majorBidi" w:hint="cs"/>
                <w:sz w:val="28"/>
                <w:szCs w:val="28"/>
                <w:rtl/>
              </w:rPr>
              <w:t>10/2023</w:t>
            </w:r>
          </w:p>
        </w:tc>
      </w:tr>
      <w:tr w:rsidR="00CB54CE" w:rsidRPr="00CB54CE" w:rsidTr="006E50A6">
        <w:trPr>
          <w:trHeight w:val="701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35A6E" w:rsidRDefault="00C35A6E" w:rsidP="00C35A6E">
            <w:pPr>
              <w:bidi/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</w:pPr>
            <w:r w:rsidRPr="00C35A6E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أعمال خدمة ألحراسة ألامنية للمباني ألادارية ومواقف السيارات وبوابات حرم المرفأ و نقل أموال</w:t>
            </w:r>
            <w:r>
              <w:rPr>
                <w:rFonts w:asciiTheme="majorBidi" w:hAnsiTheme="majorBidi" w:cs="Times New Roman"/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CB54CE" w:rsidRPr="00CB54CE" w:rsidTr="00592EDE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B54CE" w:rsidRDefault="00C35A6E" w:rsidP="00F645B2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  <w:lang w:bidi="ar-LB"/>
              </w:rPr>
              <w:t>الحراسة الأمنية والمراقبة ونقل الأموال من والى صندوق الخزينة للمرفأ وما يقتدي من اعمال الامن الذاتي والحراسات للمباني الإدارية والمواكبة كذلك تأمين الدخول والخروج لبوابات المرفأ ومراقبة الأرصفة</w:t>
            </w:r>
            <w:r>
              <w:rPr>
                <w:rFonts w:ascii="Times New Roman" w:eastAsia="Simplified Arabic" w:hAnsi="Times New Roman" w:cs="Times New Roman" w:hint="cs"/>
                <w:sz w:val="28"/>
                <w:szCs w:val="28"/>
                <w:rtl/>
              </w:rPr>
              <w:t xml:space="preserve">,وذلك عبر تأميين العدد المطلوب من الحراس على طوال مدار الساعة خلال أيام الأسبوع. ونقل الأموال من والى صندوق الخزينة في مرفأ بيروت </w:t>
            </w:r>
          </w:p>
        </w:tc>
      </w:tr>
      <w:tr w:rsidR="00CB54CE" w:rsidRPr="00CB54CE" w:rsidTr="00C35A6E">
        <w:trPr>
          <w:trHeight w:val="413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E52DFE" w:rsidRDefault="00F645B2" w:rsidP="00C35A6E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خدمات حراس</w:t>
            </w:r>
            <w:r w:rsidR="00C35A6E">
              <w:rPr>
                <w:rFonts w:asciiTheme="majorBidi" w:hAnsiTheme="majorBidi" w:cstheme="majorBidi" w:hint="cs"/>
                <w:sz w:val="28"/>
                <w:szCs w:val="28"/>
                <w:rtl/>
              </w:rPr>
              <w:t>ات</w:t>
            </w: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طريقة </w:t>
            </w: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E52DFE" w:rsidRDefault="00D63761" w:rsidP="00C662BF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="Times New Roman"/>
                <w:sz w:val="28"/>
                <w:szCs w:val="28"/>
                <w:rtl/>
              </w:rPr>
              <w:t>مناقصة عمومية على أساس تقديم أسعار بطرقة الظرف المختوم</w:t>
            </w:r>
          </w:p>
        </w:tc>
      </w:tr>
      <w:tr w:rsidR="00CB54CE" w:rsidRPr="00CB54CE" w:rsidTr="00C662BF">
        <w:trPr>
          <w:trHeight w:val="64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E52DFE" w:rsidRDefault="00D63761" w:rsidP="00D63761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السعر ألادنى الإجمالي للصفقة والانسب من الناحية الإدارية </w:t>
            </w:r>
            <w:r w:rsidR="00F645B2" w:rsidRPr="00E52DFE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والأوراق القانونية المطلوبة ,</w:t>
            </w:r>
            <w:r w:rsidRPr="00E52DF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والشروط </w:t>
            </w:r>
            <w:r w:rsidRPr="00E52DFE">
              <w:rPr>
                <w:rFonts w:asciiTheme="majorBidi" w:hAnsiTheme="majorBidi" w:cs="Times New Roman"/>
                <w:sz w:val="28"/>
                <w:szCs w:val="28"/>
                <w:rtl/>
              </w:rPr>
              <w:t>الفنية</w:t>
            </w:r>
            <w:r w:rsidR="00C35A6E">
              <w:rPr>
                <w:rFonts w:asciiTheme="majorBidi" w:hAnsiTheme="majorBidi" w:cs="Times New Roman" w:hint="cs"/>
                <w:sz w:val="28"/>
                <w:szCs w:val="28"/>
                <w:rtl/>
              </w:rPr>
              <w:t xml:space="preserve"> المطلوبة ضمن دفتر الشروط .</w:t>
            </w:r>
          </w:p>
        </w:tc>
      </w:tr>
      <w:tr w:rsidR="00CB54CE" w:rsidRPr="00CB54CE" w:rsidTr="00C35A6E">
        <w:trPr>
          <w:trHeight w:val="674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E52DFE" w:rsidRDefault="00C662BF" w:rsidP="00C662BF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( غير معلنة ) </w:t>
            </w:r>
            <w:r w:rsidR="00CB54CE"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E52DF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52DF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E52DFE" w:rsidRDefault="00F645B2" w:rsidP="00211FB6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="00211FB6" w:rsidRPr="00E52D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000</w:t>
            </w:r>
            <w:r w:rsidR="00C662BF" w:rsidRPr="00E52D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$</w:t>
            </w:r>
            <w:r w:rsidR="00736078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ألف</w:t>
            </w:r>
            <w:r w:rsidR="00736078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دولاراً أميركي </w:t>
            </w:r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CB54CE" w:rsidRPr="00CB54CE" w:rsidRDefault="00424EE3" w:rsidP="00CB54CE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يوجد </w:t>
            </w:r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54CE" w:rsidRPr="00CB54CE" w:rsidRDefault="000F283B" w:rsidP="000F283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ت</w:t>
            </w:r>
            <w:r w:rsidR="00CB54CE"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حدد </w:t>
            </w: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المادة </w:t>
            </w:r>
            <w:r w:rsidRPr="00E52D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الثانية</w:t>
            </w: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CB54CE"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 ملف التلزيم (</w:t>
            </w:r>
            <w:r w:rsidRPr="00E52DF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والمادة الرابعة</w:t>
            </w:r>
            <w:r w:rsidR="00CB54CE"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>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CB54CE" w:rsidRDefault="00CB54CE" w:rsidP="00CB54CE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736078" w:rsidRDefault="00736078" w:rsidP="00736078">
      <w:pPr>
        <w:bidi/>
        <w:rPr>
          <w:rFonts w:asciiTheme="majorBidi" w:hAnsiTheme="majorBidi" w:cstheme="majorBidi"/>
          <w:sz w:val="28"/>
          <w:szCs w:val="28"/>
          <w:rtl/>
        </w:rPr>
      </w:pPr>
    </w:p>
    <w:p w:rsidR="00736078" w:rsidRPr="00CB54CE" w:rsidRDefault="00736078" w:rsidP="00736078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CB54CE" w:rsidRPr="00CB54CE" w:rsidTr="00592ED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B54CE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lastRenderedPageBreak/>
              <w:t>تواريخ/ مهل/ أماكن</w:t>
            </w:r>
          </w:p>
        </w:tc>
      </w:tr>
      <w:tr w:rsidR="00CB54CE" w:rsidRPr="00CB54CE" w:rsidTr="00592ED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D33E51" w:rsidRDefault="007356AF" w:rsidP="00CB54CE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="00A93F33" w:rsidRPr="00D33E5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/7/2023 الساعة 12:30 بعد الظهر </w:t>
            </w:r>
          </w:p>
        </w:tc>
      </w:tr>
      <w:tr w:rsidR="00CB54CE" w:rsidRPr="00CB54CE" w:rsidTr="00592ED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الموعد النهائي لتقديم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D33E51" w:rsidRDefault="007356AF" w:rsidP="00A93F3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18</w:t>
            </w:r>
            <w:r w:rsidR="00A93F33" w:rsidRPr="00D33E51">
              <w:rPr>
                <w:rFonts w:asciiTheme="majorBidi" w:hAnsiTheme="majorBidi" w:cstheme="majorBidi" w:hint="cs"/>
                <w:sz w:val="28"/>
                <w:szCs w:val="28"/>
                <w:rtl/>
              </w:rPr>
              <w:t>/7/2023 الساعة 12:00 ظهراً</w:t>
            </w:r>
          </w:p>
        </w:tc>
      </w:tr>
      <w:tr w:rsidR="00CB54CE" w:rsidRPr="00CB54CE" w:rsidTr="00592ED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الموعد النهائ</w:t>
            </w: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 xml:space="preserve">ي لتقديم </w:t>
            </w: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335B47" w:rsidRDefault="00335B47" w:rsidP="00CB54CE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33E5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7/7/2023  لغاية  الساعة 14:00 بعد الظهر </w:t>
            </w:r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B54CE" w:rsidRPr="00335B47" w:rsidRDefault="007356AF" w:rsidP="007356AF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12</w:t>
            </w:r>
            <w:r w:rsidR="00335B47" w:rsidRPr="00D33E51">
              <w:rPr>
                <w:rFonts w:asciiTheme="majorBidi" w:hAnsiTheme="majorBidi" w:cstheme="majorBidi" w:hint="cs"/>
                <w:sz w:val="28"/>
                <w:szCs w:val="28"/>
                <w:rtl/>
              </w:rPr>
              <w:t>/7/2023</w:t>
            </w:r>
            <w:r w:rsidR="00D33E5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bookmarkStart w:id="0" w:name="_GoBack"/>
            <w:bookmarkEnd w:id="0"/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B54CE" w:rsidRPr="00CB54CE" w:rsidRDefault="000F283B" w:rsidP="00F645B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 مدة صلاحية العرض هي </w:t>
            </w:r>
            <w:r w:rsidR="00F645B2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90</w:t>
            </w: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يوماً</w:t>
            </w:r>
            <w:r w:rsidR="004C4664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التاريخ النهائي لتقديم العروض </w:t>
            </w:r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B54CE" w:rsidRDefault="004C4664" w:rsidP="00CB54CE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يتم استلام دفتر الشروط بعد تسديد البدل المقرر من </w:t>
            </w:r>
            <w:r w:rsidRPr="00872248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مبنى إدارة وأستثمار مرفأ بيروت الطابق الخامس مصلحة الديوان</w:t>
            </w:r>
            <w:r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CB54CE" w:rsidRPr="00CB54CE" w:rsidTr="00592ED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B54CE" w:rsidRDefault="00CB54CE" w:rsidP="004C466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تقدم العروض الخطية في غلاف مختوم في مقر </w:t>
            </w:r>
            <w:r w:rsidR="004C4664" w:rsidRPr="00872248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مبنى إدارة وأستثمار مرفأ بيروت الطابق الخامس مصلحة الديوان</w:t>
            </w:r>
          </w:p>
        </w:tc>
      </w:tr>
      <w:tr w:rsidR="00CB54CE" w:rsidRPr="00CB54CE" w:rsidTr="00335B47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B54CE" w:rsidRDefault="00CB54CE" w:rsidP="00736078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736078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 xml:space="preserve"> </w:t>
            </w:r>
            <w:r w:rsidR="00736078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غرفة فض</w:t>
            </w:r>
            <w:r w:rsidR="00736078"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العروض</w:t>
            </w:r>
            <w:r w:rsidR="00736078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في </w:t>
            </w:r>
            <w:r w:rsidR="00736078" w:rsidRPr="00E52DF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C4664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مبنى</w:t>
            </w:r>
            <w:r w:rsidR="00736078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ألادارة العامة </w:t>
            </w:r>
            <w:r w:rsidR="004C4664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736078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(</w:t>
            </w:r>
            <w:r w:rsidR="004C4664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إدارة وأستثمار مرفأ بيروت</w:t>
            </w:r>
            <w:r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>)</w:t>
            </w:r>
            <w:r w:rsidR="00736078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</w:tr>
      <w:tr w:rsidR="00335B47" w:rsidRPr="00CB54CE" w:rsidTr="00592ED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35B47" w:rsidRPr="00CB54CE" w:rsidRDefault="00335B47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حددت موعد للزيارة الإلزامية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35B47" w:rsidRPr="00736078" w:rsidRDefault="00335B47" w:rsidP="007356AF">
            <w:pPr>
              <w:bidi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D33E5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بتاريخ </w:t>
            </w:r>
            <w:r w:rsidR="007356AF">
              <w:rPr>
                <w:rFonts w:asciiTheme="majorBidi" w:hAnsiTheme="majorBidi" w:cstheme="majorBidi"/>
                <w:sz w:val="28"/>
                <w:szCs w:val="28"/>
              </w:rPr>
              <w:t>4</w:t>
            </w:r>
            <w:r w:rsidRPr="00D33E51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/7/2023 على ان تسلم الأوراق الثبوتية قبل يوم من هذا التاريخ </w:t>
            </w:r>
          </w:p>
        </w:tc>
      </w:tr>
    </w:tbl>
    <w:p w:rsidR="00CB54CE" w:rsidRPr="007356AF" w:rsidRDefault="00CB54CE" w:rsidP="00CB54CE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CB54CE" w:rsidRPr="00CB54CE" w:rsidTr="00592EDE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ضمان العرض</w:t>
            </w:r>
          </w:p>
        </w:tc>
      </w:tr>
      <w:tr w:rsidR="00CB54CE" w:rsidRPr="00CB54CE" w:rsidTr="00592EDE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CB54CE" w:rsidRPr="00CB54CE" w:rsidRDefault="00CB54CE" w:rsidP="00214860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حدد بمبلغ وقدره </w:t>
            </w:r>
            <w:r w:rsidR="00214860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5000</w:t>
            </w:r>
            <w:r w:rsidR="004C4664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$ </w:t>
            </w:r>
            <w:r w:rsidR="00214860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خمسة ألاف</w:t>
            </w:r>
            <w:r w:rsidR="00736078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4C4664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دولاراً أميركي لا غير </w:t>
            </w:r>
          </w:p>
        </w:tc>
      </w:tr>
      <w:tr w:rsidR="00E52DFE" w:rsidRPr="00E52DFE" w:rsidTr="00592EDE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CB54CE" w:rsidRPr="00E52DFE" w:rsidRDefault="00CB54CE" w:rsidP="00F645B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E52DF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تحديد مدة صلاحية ضمان العرض </w:t>
            </w:r>
            <w:r w:rsidR="00F645B2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>120</w:t>
            </w:r>
            <w:r w:rsidR="004C4664" w:rsidRPr="00E52DF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يوماً من التاريخ النهائي لتقديم العروض </w:t>
            </w:r>
          </w:p>
        </w:tc>
      </w:tr>
    </w:tbl>
    <w:p w:rsidR="00CB54CE" w:rsidRPr="00CB54CE" w:rsidRDefault="00CB54CE" w:rsidP="00CB54CE">
      <w:pPr>
        <w:bidi/>
        <w:rPr>
          <w:rFonts w:asciiTheme="majorBidi" w:hAnsiTheme="majorBidi" w:cstheme="majorBidi"/>
          <w:sz w:val="28"/>
          <w:szCs w:val="28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CB54CE" w:rsidRPr="00CB54CE" w:rsidTr="00592EDE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يمكنكم الإطلاع على دفتر الشروط الخاص بالصفقة عبر المنص</w:t>
            </w: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LB"/>
              </w:rPr>
              <w:t>ة</w:t>
            </w: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الإلكترونية المركزية لدى هيئة الشراء العام </w:t>
            </w:r>
            <w:r w:rsidRPr="00CB5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ppa.gov.lb</w:t>
            </w:r>
          </w:p>
          <w:p w:rsidR="00CB54CE" w:rsidRPr="00CB54CE" w:rsidRDefault="00CB54CE" w:rsidP="00CB54CE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B54C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 </w:t>
            </w:r>
          </w:p>
        </w:tc>
      </w:tr>
    </w:tbl>
    <w:p w:rsidR="00CB54CE" w:rsidRPr="00CB54CE" w:rsidRDefault="00CB54CE" w:rsidP="00BF2D0B">
      <w:pPr>
        <w:bidi/>
        <w:rPr>
          <w:rFonts w:asciiTheme="majorBidi" w:hAnsiTheme="majorBidi" w:cstheme="majorBidi"/>
          <w:sz w:val="28"/>
          <w:szCs w:val="28"/>
        </w:rPr>
      </w:pPr>
    </w:p>
    <w:sectPr w:rsidR="00CB54CE" w:rsidRPr="00CB54CE" w:rsidSect="00CB54CE"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A52" w:rsidRDefault="009A7A52" w:rsidP="007310B7">
      <w:pPr>
        <w:spacing w:after="0" w:line="240" w:lineRule="auto"/>
      </w:pPr>
      <w:r>
        <w:separator/>
      </w:r>
    </w:p>
  </w:endnote>
  <w:endnote w:type="continuationSeparator" w:id="0">
    <w:p w:rsidR="009A7A52" w:rsidRDefault="009A7A52" w:rsidP="00731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A52" w:rsidRDefault="009A7A52" w:rsidP="007310B7">
      <w:pPr>
        <w:spacing w:after="0" w:line="240" w:lineRule="auto"/>
      </w:pPr>
      <w:r>
        <w:separator/>
      </w:r>
    </w:p>
  </w:footnote>
  <w:footnote w:type="continuationSeparator" w:id="0">
    <w:p w:rsidR="009A7A52" w:rsidRDefault="009A7A52" w:rsidP="00731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B54CE"/>
    <w:rsid w:val="00034272"/>
    <w:rsid w:val="000F283B"/>
    <w:rsid w:val="00211FB6"/>
    <w:rsid w:val="00214860"/>
    <w:rsid w:val="00335B47"/>
    <w:rsid w:val="003E36D5"/>
    <w:rsid w:val="00424EE3"/>
    <w:rsid w:val="00494C5B"/>
    <w:rsid w:val="004C4664"/>
    <w:rsid w:val="0051263F"/>
    <w:rsid w:val="005237DE"/>
    <w:rsid w:val="00530FFB"/>
    <w:rsid w:val="00550748"/>
    <w:rsid w:val="00685D18"/>
    <w:rsid w:val="006901CA"/>
    <w:rsid w:val="006E50A6"/>
    <w:rsid w:val="00701AF8"/>
    <w:rsid w:val="007310B7"/>
    <w:rsid w:val="007356AF"/>
    <w:rsid w:val="00736078"/>
    <w:rsid w:val="00742EB3"/>
    <w:rsid w:val="007E6137"/>
    <w:rsid w:val="00840280"/>
    <w:rsid w:val="00872248"/>
    <w:rsid w:val="009028EA"/>
    <w:rsid w:val="009A7A52"/>
    <w:rsid w:val="00A93F33"/>
    <w:rsid w:val="00A973F9"/>
    <w:rsid w:val="00B82938"/>
    <w:rsid w:val="00BF2D0B"/>
    <w:rsid w:val="00C35A6E"/>
    <w:rsid w:val="00C662BF"/>
    <w:rsid w:val="00CB54CE"/>
    <w:rsid w:val="00CB68C3"/>
    <w:rsid w:val="00D33E51"/>
    <w:rsid w:val="00D63761"/>
    <w:rsid w:val="00DD54E2"/>
    <w:rsid w:val="00E52DFE"/>
    <w:rsid w:val="00E961C5"/>
    <w:rsid w:val="00F645B2"/>
    <w:rsid w:val="00F91A25"/>
    <w:rsid w:val="00FA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B68C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68C3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B68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A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0B7"/>
  </w:style>
  <w:style w:type="paragraph" w:styleId="Footer">
    <w:name w:val="footer"/>
    <w:basedOn w:val="Normal"/>
    <w:link w:val="FooterChar"/>
    <w:uiPriority w:val="99"/>
    <w:unhideWhenUsed/>
    <w:rsid w:val="007310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0B7"/>
  </w:style>
  <w:style w:type="paragraph" w:styleId="BalloonText">
    <w:name w:val="Balloon Text"/>
    <w:basedOn w:val="Normal"/>
    <w:link w:val="BalloonTextChar"/>
    <w:uiPriority w:val="99"/>
    <w:semiHidden/>
    <w:unhideWhenUsed/>
    <w:rsid w:val="00BF2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48BDE-102C-484E-85E5-58FBB107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mireille</cp:lastModifiedBy>
  <cp:revision>19</cp:revision>
  <cp:lastPrinted>2023-05-26T08:08:00Z</cp:lastPrinted>
  <dcterms:created xsi:type="dcterms:W3CDTF">2023-02-22T17:57:00Z</dcterms:created>
  <dcterms:modified xsi:type="dcterms:W3CDTF">2023-06-13T05:57:00Z</dcterms:modified>
</cp:coreProperties>
</file>