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DF4D24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DF4D24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DF4D24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DF4D24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DF4D24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DF4D24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F4D24" w:rsidRDefault="005C0741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2485/1/M</w:t>
            </w:r>
          </w:p>
        </w:tc>
      </w:tr>
      <w:tr w:rsidR="00DD04AE" w:rsidRPr="00DF4D24"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F4D24" w:rsidRDefault="005C0741" w:rsidP="00C00FDE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 June 2024</w:t>
            </w:r>
          </w:p>
        </w:tc>
      </w:tr>
    </w:tbl>
    <w:p w:rsidR="00DD04AE" w:rsidRPr="00DF4D24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DF4D24"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F4D24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DF4D24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DF4D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DF4D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DF4D24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DF4D24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DF4D2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DF4D24"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F4D24" w:rsidRDefault="005C0741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Invigo</w:t>
            </w:r>
            <w:proofErr w:type="spellEnd"/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S.A.R.L.</w:t>
            </w:r>
          </w:p>
        </w:tc>
      </w:tr>
      <w:tr w:rsidR="00DD04AE" w:rsidRPr="00DF4D24">
        <w:tc>
          <w:tcPr>
            <w:tcW w:w="2283" w:type="dxa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DF4D24" w:rsidRDefault="001A2771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063850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27,620</w:t>
            </w:r>
          </w:p>
        </w:tc>
      </w:tr>
      <w:tr w:rsidR="00DD04AE" w:rsidRPr="00DF4D24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DF4D24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DF4D2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  <w:p w:rsidR="0047442A" w:rsidRPr="00DF4D24" w:rsidRDefault="0047442A" w:rsidP="000E13E6">
            <w:pPr>
              <w:bidi/>
              <w:jc w:val="right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  <w:u w:val="single"/>
              </w:rPr>
              <w:t>Reason for Direct Contracting:</w:t>
            </w:r>
            <w:r w:rsidR="000E13E6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0E13E6" w:rsidRPr="00DF4D24">
              <w:t xml:space="preserve"> </w:t>
            </w:r>
            <w:r w:rsidR="000E13E6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The Maintenance and Support Services are urgently needed having </w:t>
            </w:r>
            <w:proofErr w:type="spellStart"/>
            <w:r w:rsidR="000E13E6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Invigo</w:t>
            </w:r>
            <w:proofErr w:type="spellEnd"/>
            <w:r w:rsidR="000E13E6"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S.A.R.L as the sole supplier of the solution and its source code, and being of utmost need for the Lebanese security agencies and MIC2 subscribers.</w:t>
            </w:r>
          </w:p>
        </w:tc>
      </w:tr>
      <w:tr w:rsidR="00DD04AE" w:rsidRPr="00DF4D24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DF4D24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DF4D24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DF4D24" w:rsidRDefault="005C0741" w:rsidP="001A2771">
            <w:pPr>
              <w:bidi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</w:t>
            </w: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ew the Maintenance and Support S</w:t>
            </w:r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ervices to its Welcome SMS and ADM platforms from 28 April 2024 until 27 April 2025</w:t>
            </w:r>
            <w:bookmarkStart w:id="3" w:name="_1fob9te" w:colFirst="0" w:colLast="0"/>
            <w:bookmarkEnd w:id="3"/>
          </w:p>
        </w:tc>
      </w:tr>
    </w:tbl>
    <w:p w:rsidR="00DD04AE" w:rsidRPr="00DF4D24" w:rsidRDefault="00D2533F" w:rsidP="005C0741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DF4D24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DF4D24">
        <w:rPr>
          <w:rFonts w:asciiTheme="majorBidi" w:eastAsia="Simplified Arabic" w:hAnsiTheme="majorBidi" w:cstheme="majorBidi"/>
          <w:sz w:val="24"/>
          <w:szCs w:val="24"/>
        </w:rPr>
        <w:t>MIC2</w:t>
      </w:r>
      <w:r w:rsidRPr="00DF4D24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5C0741" w:rsidRPr="00DF4D24">
        <w:rPr>
          <w:rFonts w:asciiTheme="majorBidi" w:hAnsiTheme="majorBidi" w:cstheme="majorBidi"/>
          <w:color w:val="000000"/>
          <w:sz w:val="24"/>
          <w:szCs w:val="24"/>
        </w:rPr>
        <w:t>Invigo</w:t>
      </w:r>
      <w:proofErr w:type="spellEnd"/>
      <w:r w:rsidR="005C0741" w:rsidRPr="00DF4D24">
        <w:rPr>
          <w:rFonts w:asciiTheme="majorBidi" w:hAnsiTheme="majorBidi" w:cstheme="majorBidi"/>
          <w:color w:val="000000"/>
          <w:sz w:val="24"/>
          <w:szCs w:val="24"/>
        </w:rPr>
        <w:t xml:space="preserve"> S.A.R.L</w:t>
      </w:r>
      <w:r w:rsidR="0036139C" w:rsidRPr="00DF4D24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DF4D24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DF4D24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5C0741" w:rsidRPr="00DF4D24">
        <w:rPr>
          <w:rFonts w:asciiTheme="majorBidi" w:hAnsiTheme="majorBidi" w:cstheme="majorBidi"/>
          <w:color w:val="000000"/>
          <w:sz w:val="24"/>
          <w:szCs w:val="24"/>
        </w:rPr>
        <w:t>Renew the Maintenance and Support Services to its Welcome SMS and ADM platforms from 28 April 2024 until 27 April 2025</w:t>
      </w:r>
      <w:r w:rsidRPr="00DF4D24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DF4D24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DF4D24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F4D24" w:rsidRDefault="005C0741" w:rsidP="00C00FDE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DF4D2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 June 2024</w:t>
            </w:r>
          </w:p>
        </w:tc>
      </w:tr>
      <w:tr w:rsidR="00DD04AE" w:rsidRPr="00DF4D24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F4D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F4D24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DF4D24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DF4D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F4D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DF4D24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3850"/>
    <w:rsid w:val="000B6A28"/>
    <w:rsid w:val="000E13E6"/>
    <w:rsid w:val="0010674A"/>
    <w:rsid w:val="001A2771"/>
    <w:rsid w:val="002331F9"/>
    <w:rsid w:val="0027493D"/>
    <w:rsid w:val="0036139C"/>
    <w:rsid w:val="00375E77"/>
    <w:rsid w:val="004427CF"/>
    <w:rsid w:val="0047442A"/>
    <w:rsid w:val="00553902"/>
    <w:rsid w:val="00583542"/>
    <w:rsid w:val="005C0741"/>
    <w:rsid w:val="00663624"/>
    <w:rsid w:val="006646FB"/>
    <w:rsid w:val="007813E5"/>
    <w:rsid w:val="00797BC1"/>
    <w:rsid w:val="008B21AA"/>
    <w:rsid w:val="00934306"/>
    <w:rsid w:val="00C00FDE"/>
    <w:rsid w:val="00C03181"/>
    <w:rsid w:val="00C13ADA"/>
    <w:rsid w:val="00D2533F"/>
    <w:rsid w:val="00D90CE6"/>
    <w:rsid w:val="00DD04AE"/>
    <w:rsid w:val="00DF4D24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BBDB6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70</cp:revision>
  <dcterms:created xsi:type="dcterms:W3CDTF">2023-02-01T11:13:00Z</dcterms:created>
  <dcterms:modified xsi:type="dcterms:W3CDTF">2024-06-21T08:53:00Z</dcterms:modified>
</cp:coreProperties>
</file>