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42004F"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42004F">
        <w:rPr>
          <w:rFonts w:ascii="Simplified Arabic" w:eastAsia="Simplified Arabic" w:hAnsi="Simplified Arabic" w:cs="Simplified Arabic"/>
          <w:sz w:val="32"/>
          <w:szCs w:val="32"/>
          <w:rtl/>
        </w:rPr>
        <w:t>إشعار</w:t>
      </w:r>
    </w:p>
    <w:p w:rsidR="00DD04AE" w:rsidRPr="0042004F" w:rsidRDefault="00D2533F">
      <w:pPr>
        <w:bidi/>
        <w:spacing w:after="0" w:line="240" w:lineRule="auto"/>
        <w:jc w:val="center"/>
        <w:rPr>
          <w:rFonts w:ascii="Simplified Arabic" w:eastAsia="Simplified Arabic" w:hAnsi="Simplified Arabic" w:cs="Simplified Arabic"/>
          <w:sz w:val="32"/>
          <w:szCs w:val="32"/>
        </w:rPr>
      </w:pPr>
      <w:r w:rsidRPr="0042004F">
        <w:rPr>
          <w:rFonts w:ascii="Simplified Arabic" w:eastAsia="Simplified Arabic" w:hAnsi="Simplified Arabic" w:cs="Simplified Arabic"/>
          <w:sz w:val="32"/>
          <w:szCs w:val="32"/>
          <w:rtl/>
        </w:rPr>
        <w:t>بإجراء اتفاق رضائي</w:t>
      </w:r>
    </w:p>
    <w:p w:rsidR="00DD04AE" w:rsidRPr="0042004F"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42004F">
        <w:trPr>
          <w:trHeight w:val="70"/>
        </w:trPr>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42004F" w:rsidRDefault="004A4B4E" w:rsidP="00C34E32">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4098</w:t>
            </w:r>
            <w:r w:rsidR="005E7E36" w:rsidRPr="0042004F">
              <w:rPr>
                <w:rFonts w:asciiTheme="majorBidi" w:hAnsiTheme="majorBidi" w:cstheme="majorBidi"/>
                <w:color w:val="000000"/>
                <w:sz w:val="24"/>
                <w:szCs w:val="24"/>
              </w:rPr>
              <w:t>/1/M</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42004F" w:rsidRDefault="004A4B4E" w:rsidP="004A4B4E">
            <w:pPr>
              <w:bidi/>
              <w:rPr>
                <w:rFonts w:asciiTheme="majorBidi" w:eastAsia="Simplified Arabic" w:hAnsiTheme="majorBidi" w:cstheme="majorBidi"/>
                <w:sz w:val="28"/>
                <w:szCs w:val="28"/>
              </w:rPr>
            </w:pPr>
            <w:r>
              <w:rPr>
                <w:rFonts w:asciiTheme="majorBidi" w:hAnsiTheme="majorBidi" w:cstheme="majorBidi"/>
                <w:color w:val="000000"/>
                <w:sz w:val="24"/>
                <w:szCs w:val="24"/>
              </w:rPr>
              <w:t>15</w:t>
            </w:r>
            <w:r w:rsidR="00A02F52" w:rsidRPr="0042004F">
              <w:rPr>
                <w:rFonts w:asciiTheme="majorBidi" w:hAnsiTheme="majorBidi" w:cstheme="majorBidi"/>
                <w:color w:val="000000"/>
                <w:sz w:val="24"/>
                <w:szCs w:val="24"/>
              </w:rPr>
              <w:t xml:space="preserve"> Octo</w:t>
            </w:r>
            <w:r w:rsidR="005E7E36" w:rsidRPr="0042004F">
              <w:rPr>
                <w:rFonts w:asciiTheme="majorBidi" w:hAnsiTheme="majorBidi" w:cstheme="majorBidi"/>
                <w:color w:val="000000"/>
                <w:sz w:val="24"/>
                <w:szCs w:val="24"/>
              </w:rPr>
              <w:t>ber</w:t>
            </w:r>
            <w:r w:rsidR="001A2771" w:rsidRPr="0042004F">
              <w:rPr>
                <w:rFonts w:asciiTheme="majorBidi" w:hAnsiTheme="majorBidi" w:cstheme="majorBidi"/>
                <w:color w:val="000000"/>
                <w:sz w:val="24"/>
                <w:szCs w:val="24"/>
              </w:rPr>
              <w:t xml:space="preserve"> </w:t>
            </w:r>
            <w:r>
              <w:rPr>
                <w:rFonts w:asciiTheme="majorBidi" w:hAnsiTheme="majorBidi" w:cstheme="majorBidi"/>
                <w:color w:val="000000"/>
                <w:sz w:val="24"/>
                <w:szCs w:val="24"/>
              </w:rPr>
              <w:t>2024</w:t>
            </w:r>
          </w:p>
        </w:tc>
      </w:tr>
    </w:tbl>
    <w:p w:rsidR="00DD04AE" w:rsidRPr="0042004F"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42004F" w:rsidRDefault="00F83145" w:rsidP="008B21AA">
            <w:pPr>
              <w:jc w:val="right"/>
              <w:rPr>
                <w:rFonts w:asciiTheme="majorBidi" w:eastAsia="Simplified Arabic" w:hAnsiTheme="majorBidi" w:cstheme="majorBidi"/>
                <w:color w:val="000000"/>
                <w:sz w:val="28"/>
                <w:szCs w:val="28"/>
              </w:rPr>
            </w:pPr>
            <w:r w:rsidRPr="0042004F">
              <w:rPr>
                <w:rFonts w:asciiTheme="majorBidi" w:hAnsiTheme="majorBidi" w:cstheme="majorBidi"/>
                <w:color w:val="000000"/>
                <w:sz w:val="24"/>
                <w:szCs w:val="24"/>
              </w:rPr>
              <w:t>MIC2</w:t>
            </w:r>
          </w:p>
        </w:tc>
      </w:tr>
      <w:tr w:rsidR="00DD04AE" w:rsidRPr="0042004F">
        <w:trPr>
          <w:trHeight w:val="30"/>
        </w:trPr>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 xml:space="preserve">Mobile Interim Company No.2 S.A.L. </w:t>
            </w:r>
          </w:p>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Beirut Central, Touch Building, Bloc B and C</w:t>
            </w:r>
          </w:p>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 xml:space="preserve">Fouad </w:t>
            </w:r>
            <w:proofErr w:type="spellStart"/>
            <w:r w:rsidRPr="0042004F">
              <w:rPr>
                <w:rFonts w:asciiTheme="majorBidi" w:hAnsiTheme="majorBidi" w:cstheme="majorBidi"/>
                <w:i/>
                <w:iCs/>
                <w:sz w:val="24"/>
                <w:szCs w:val="24"/>
              </w:rPr>
              <w:t>Chehab</w:t>
            </w:r>
            <w:proofErr w:type="spellEnd"/>
            <w:r w:rsidRPr="0042004F">
              <w:rPr>
                <w:rFonts w:asciiTheme="majorBidi" w:hAnsiTheme="majorBidi" w:cstheme="majorBidi"/>
                <w:i/>
                <w:iCs/>
                <w:sz w:val="24"/>
                <w:szCs w:val="24"/>
              </w:rPr>
              <w:t xml:space="preserve"> Avenue, </w:t>
            </w:r>
            <w:proofErr w:type="spellStart"/>
            <w:r w:rsidRPr="0042004F">
              <w:rPr>
                <w:rFonts w:asciiTheme="majorBidi" w:hAnsiTheme="majorBidi" w:cstheme="majorBidi"/>
                <w:i/>
                <w:iCs/>
                <w:sz w:val="24"/>
                <w:szCs w:val="24"/>
              </w:rPr>
              <w:t>Bashoura</w:t>
            </w:r>
            <w:proofErr w:type="spellEnd"/>
            <w:r w:rsidRPr="0042004F">
              <w:rPr>
                <w:rFonts w:asciiTheme="majorBidi" w:hAnsiTheme="majorBidi" w:cstheme="majorBidi"/>
                <w:i/>
                <w:iCs/>
                <w:sz w:val="24"/>
                <w:szCs w:val="24"/>
              </w:rPr>
              <w:t xml:space="preserve"> Region, </w:t>
            </w:r>
          </w:p>
          <w:p w:rsidR="00DD04AE" w:rsidRPr="0042004F" w:rsidRDefault="00F83145" w:rsidP="007813E5">
            <w:pPr>
              <w:jc w:val="both"/>
              <w:rPr>
                <w:rFonts w:ascii="Simplified Arabic" w:eastAsia="Simplified Arabic" w:hAnsi="Simplified Arabic" w:cs="Simplified Arabic"/>
                <w:color w:val="000000"/>
                <w:sz w:val="28"/>
                <w:szCs w:val="28"/>
              </w:rPr>
            </w:pPr>
            <w:r w:rsidRPr="0042004F">
              <w:rPr>
                <w:rFonts w:asciiTheme="majorBidi" w:hAnsiTheme="majorBidi" w:cstheme="majorBidi"/>
                <w:i/>
                <w:iCs/>
                <w:sz w:val="24"/>
                <w:szCs w:val="24"/>
              </w:rPr>
              <w:t xml:space="preserve">            Beirut, Lebanon</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42004F" w:rsidRDefault="005E7E36" w:rsidP="008B21AA">
            <w:pPr>
              <w:jc w:val="right"/>
              <w:rPr>
                <w:rFonts w:asciiTheme="majorBidi" w:eastAsia="Simplified Arabic" w:hAnsiTheme="majorBidi" w:cstheme="majorBidi"/>
                <w:color w:val="000000"/>
                <w:sz w:val="24"/>
                <w:szCs w:val="24"/>
              </w:rPr>
            </w:pPr>
            <w:r w:rsidRPr="0042004F">
              <w:rPr>
                <w:rFonts w:asciiTheme="majorBidi" w:hAnsiTheme="majorBidi" w:cstheme="majorBidi"/>
                <w:color w:val="000000"/>
                <w:sz w:val="24"/>
                <w:szCs w:val="24"/>
              </w:rPr>
              <w:t>Nokia Solutions and Networks Oy</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42004F" w:rsidRDefault="004A4B4E" w:rsidP="008B21AA">
            <w:pPr>
              <w:jc w:val="right"/>
              <w:rPr>
                <w:rFonts w:asciiTheme="majorBidi" w:eastAsia="Simplified Arabic" w:hAnsiTheme="majorBidi" w:cstheme="majorBidi"/>
                <w:color w:val="000000"/>
                <w:sz w:val="24"/>
                <w:szCs w:val="24"/>
              </w:rPr>
            </w:pPr>
            <w:r>
              <w:rPr>
                <w:rFonts w:asciiTheme="majorBidi" w:hAnsiTheme="majorBidi" w:cstheme="majorBidi"/>
                <w:color w:val="000000"/>
                <w:sz w:val="24"/>
                <w:szCs w:val="24"/>
              </w:rPr>
              <w:t>€3,0</w:t>
            </w:r>
            <w:r w:rsidR="00CA0363" w:rsidRPr="0042004F">
              <w:rPr>
                <w:rFonts w:asciiTheme="majorBidi" w:hAnsiTheme="majorBidi" w:cstheme="majorBidi"/>
                <w:color w:val="000000"/>
                <w:sz w:val="24"/>
                <w:szCs w:val="24"/>
              </w:rPr>
              <w:t>00,000</w:t>
            </w:r>
          </w:p>
        </w:tc>
      </w:tr>
      <w:tr w:rsidR="00DD04AE" w:rsidRPr="0042004F">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ان اجراء الإتفاق الرضائي هذا يستند الى احكام الفقرة (</w:t>
            </w:r>
            <w:r w:rsidR="001A2771" w:rsidRPr="0042004F">
              <w:rPr>
                <w:rFonts w:ascii="Simplified Arabic" w:eastAsia="Simplified Arabic" w:hAnsi="Simplified Arabic" w:cs="Simplified Arabic"/>
                <w:sz w:val="28"/>
                <w:szCs w:val="28"/>
              </w:rPr>
              <w:t>1</w:t>
            </w:r>
            <w:r w:rsidRPr="0042004F">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4A4B4E" w:rsidRPr="004A4B4E" w:rsidRDefault="004A4B4E" w:rsidP="004A4B4E">
            <w:pPr>
              <w:spacing w:line="360" w:lineRule="auto"/>
              <w:jc w:val="both"/>
              <w:rPr>
                <w:rFonts w:ascii="Simplified Arabic" w:eastAsia="Simplified Arabic" w:hAnsi="Simplified Arabic" w:cs="Simplified Arabic"/>
                <w:sz w:val="28"/>
                <w:szCs w:val="28"/>
              </w:rPr>
            </w:pPr>
            <w:r w:rsidRPr="004A4B4E">
              <w:rPr>
                <w:rFonts w:asciiTheme="majorBidi" w:hAnsiTheme="majorBidi" w:cstheme="majorBidi"/>
                <w:color w:val="000000"/>
                <w:sz w:val="24"/>
                <w:szCs w:val="24"/>
              </w:rPr>
              <w:t>Nokia Care services for the Core Network are required to guaranty proper network operations by ensuring stability on all systems and entities part of Nokia Core Network solution. This includes software maintenance, hardware repair and return, technical consultancy support, network health check and emergency support covering the period from 1 August 2024 until 31 July 2025.</w:t>
            </w:r>
            <w:r>
              <w:rPr>
                <w:rFonts w:ascii="Arial" w:hAnsi="Arial" w:cs="Arial"/>
                <w:color w:val="000000"/>
                <w:sz w:val="20"/>
                <w:szCs w:val="20"/>
              </w:rPr>
              <w:t xml:space="preserve"> </w:t>
            </w:r>
          </w:p>
        </w:tc>
      </w:tr>
      <w:tr w:rsidR="00DD04AE" w:rsidRPr="0042004F">
        <w:trPr>
          <w:trHeight w:val="280"/>
        </w:trPr>
        <w:tc>
          <w:tcPr>
            <w:tcW w:w="10155" w:type="dxa"/>
            <w:gridSpan w:val="2"/>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 xml:space="preserve">ملخص لأهم الأحكام والشروط المطلوبة في عقد الشراء: </w:t>
            </w:r>
          </w:p>
          <w:p w:rsidR="00DD04AE" w:rsidRPr="0042004F" w:rsidRDefault="005E7E36" w:rsidP="004A4B4E">
            <w:pPr>
              <w:bidi/>
              <w:rPr>
                <w:rFonts w:asciiTheme="majorBidi" w:eastAsia="Simplified Arabic" w:hAnsiTheme="majorBidi" w:cstheme="majorBidi"/>
                <w:sz w:val="24"/>
                <w:szCs w:val="24"/>
              </w:rPr>
            </w:pPr>
            <w:r w:rsidRPr="0042004F">
              <w:rPr>
                <w:rFonts w:asciiTheme="majorBidi" w:hAnsiTheme="majorBidi" w:cstheme="majorBidi"/>
                <w:color w:val="000000"/>
                <w:sz w:val="24"/>
                <w:szCs w:val="24"/>
              </w:rPr>
              <w:t>Nokia Care Renewal covering the period from 1 August 202</w:t>
            </w:r>
            <w:r w:rsidR="004A4B4E">
              <w:rPr>
                <w:rFonts w:asciiTheme="majorBidi" w:hAnsiTheme="majorBidi" w:cstheme="majorBidi"/>
                <w:color w:val="000000"/>
                <w:sz w:val="24"/>
                <w:szCs w:val="24"/>
              </w:rPr>
              <w:t>4</w:t>
            </w:r>
            <w:r w:rsidRPr="0042004F">
              <w:rPr>
                <w:rFonts w:asciiTheme="majorBidi" w:hAnsiTheme="majorBidi" w:cstheme="majorBidi"/>
                <w:color w:val="000000"/>
                <w:sz w:val="24"/>
                <w:szCs w:val="24"/>
              </w:rPr>
              <w:t xml:space="preserve"> until 31 July 202</w:t>
            </w:r>
            <w:bookmarkStart w:id="2" w:name="_1fob9te" w:colFirst="0" w:colLast="0"/>
            <w:bookmarkEnd w:id="2"/>
            <w:r w:rsidR="004A4B4E">
              <w:rPr>
                <w:rFonts w:asciiTheme="majorBidi" w:hAnsiTheme="majorBidi" w:cstheme="majorBidi"/>
                <w:color w:val="000000"/>
                <w:sz w:val="24"/>
                <w:szCs w:val="24"/>
              </w:rPr>
              <w:t>5</w:t>
            </w:r>
          </w:p>
        </w:tc>
      </w:tr>
    </w:tbl>
    <w:p w:rsidR="00DD04AE" w:rsidRPr="0042004F" w:rsidRDefault="00D2533F" w:rsidP="00F21899">
      <w:pPr>
        <w:bidi/>
        <w:spacing w:after="0" w:line="240" w:lineRule="auto"/>
        <w:ind w:left="-279" w:right="-360"/>
        <w:jc w:val="both"/>
        <w:rPr>
          <w:rFonts w:asciiTheme="majorBidi" w:eastAsia="Simplified Arabic" w:hAnsiTheme="majorBidi" w:cstheme="majorBidi"/>
          <w:sz w:val="24"/>
          <w:szCs w:val="24"/>
        </w:rPr>
      </w:pPr>
      <w:bookmarkStart w:id="3" w:name="_3znysh7" w:colFirst="0" w:colLast="0"/>
      <w:bookmarkEnd w:id="3"/>
      <w:r w:rsidRPr="0042004F">
        <w:rPr>
          <w:rFonts w:ascii="Simplified Arabic" w:eastAsia="Simplified Arabic" w:hAnsi="Simplified Arabic" w:cs="Simplified Arabic"/>
          <w:sz w:val="24"/>
          <w:szCs w:val="24"/>
          <w:rtl/>
        </w:rPr>
        <w:t>تعتزم</w:t>
      </w:r>
      <w:bookmarkStart w:id="4" w:name="_GoBack"/>
      <w:bookmarkEnd w:id="4"/>
      <w:r w:rsidRPr="0042004F">
        <w:rPr>
          <w:rFonts w:ascii="Simplified Arabic" w:eastAsia="Simplified Arabic" w:hAnsi="Simplified Arabic" w:cs="Simplified Arabic"/>
          <w:sz w:val="24"/>
          <w:szCs w:val="24"/>
          <w:rtl/>
        </w:rPr>
        <w:t xml:space="preserve"> (</w:t>
      </w:r>
      <w:r w:rsidR="00C03181" w:rsidRPr="00F21899">
        <w:rPr>
          <w:rFonts w:asciiTheme="majorBidi" w:eastAsia="Simplified Arabic" w:hAnsiTheme="majorBidi" w:cstheme="majorBidi"/>
          <w:sz w:val="24"/>
          <w:szCs w:val="24"/>
        </w:rPr>
        <w:t>MIC2</w:t>
      </w:r>
      <w:r w:rsidRPr="0042004F">
        <w:rPr>
          <w:rFonts w:ascii="Simplified Arabic" w:eastAsia="Simplified Arabic" w:hAnsi="Simplified Arabic" w:cs="Simplified Arabic"/>
          <w:sz w:val="24"/>
          <w:szCs w:val="24"/>
          <w:rtl/>
        </w:rPr>
        <w:t>) إجراء اتفاق رضائي مع (</w:t>
      </w:r>
      <w:r w:rsidR="005E7E36" w:rsidRPr="0042004F">
        <w:rPr>
          <w:rFonts w:asciiTheme="majorBidi" w:hAnsiTheme="majorBidi" w:cstheme="majorBidi"/>
          <w:color w:val="000000"/>
          <w:sz w:val="24"/>
          <w:szCs w:val="24"/>
        </w:rPr>
        <w:t>Nokia Solutions and Networks Oy</w:t>
      </w:r>
      <w:r w:rsidRPr="0042004F">
        <w:rPr>
          <w:rFonts w:asciiTheme="majorBidi" w:eastAsia="Simplified Arabic" w:hAnsiTheme="majorBidi" w:cstheme="majorBidi"/>
          <w:sz w:val="24"/>
          <w:szCs w:val="24"/>
          <w:rtl/>
        </w:rPr>
        <w:t xml:space="preserve">) </w:t>
      </w:r>
      <w:r w:rsidRPr="0042004F">
        <w:rPr>
          <w:rFonts w:ascii="Simplified Arabic" w:eastAsia="Simplified Arabic" w:hAnsi="Simplified Arabic" w:cs="Simplified Arabic"/>
          <w:sz w:val="24"/>
          <w:szCs w:val="24"/>
          <w:rtl/>
        </w:rPr>
        <w:t>وذلك بغية (</w:t>
      </w:r>
      <w:r w:rsidR="005E7E36" w:rsidRPr="0042004F">
        <w:rPr>
          <w:rFonts w:asciiTheme="majorBidi" w:hAnsiTheme="majorBidi" w:cstheme="majorBidi"/>
          <w:color w:val="000000"/>
          <w:sz w:val="24"/>
          <w:szCs w:val="24"/>
        </w:rPr>
        <w:t>Nokia Care Renewal covering the period from 1 August 202</w:t>
      </w:r>
      <w:r w:rsidR="00DC0F9E">
        <w:rPr>
          <w:rFonts w:asciiTheme="majorBidi" w:hAnsiTheme="majorBidi" w:cstheme="majorBidi"/>
          <w:color w:val="000000"/>
          <w:sz w:val="24"/>
          <w:szCs w:val="24"/>
        </w:rPr>
        <w:t>4</w:t>
      </w:r>
      <w:r w:rsidR="005E7E36" w:rsidRPr="0042004F">
        <w:rPr>
          <w:rFonts w:asciiTheme="majorBidi" w:hAnsiTheme="majorBidi" w:cstheme="majorBidi"/>
          <w:color w:val="000000"/>
          <w:sz w:val="24"/>
          <w:szCs w:val="24"/>
        </w:rPr>
        <w:t xml:space="preserve"> until 31 July 202</w:t>
      </w:r>
      <w:r w:rsidR="00F21899">
        <w:rPr>
          <w:rFonts w:asciiTheme="majorBidi" w:hAnsiTheme="majorBidi" w:cstheme="majorBidi"/>
          <w:color w:val="000000"/>
          <w:sz w:val="24"/>
          <w:szCs w:val="24"/>
        </w:rPr>
        <w:t>5</w:t>
      </w:r>
      <w:r w:rsidRPr="0042004F">
        <w:rPr>
          <w:rFonts w:asciiTheme="majorBidi" w:eastAsia="Simplified Arabic" w:hAnsiTheme="majorBidi" w:cstheme="majorBidi"/>
          <w:sz w:val="24"/>
          <w:szCs w:val="24"/>
          <w:rtl/>
        </w:rPr>
        <w:t>).</w:t>
      </w:r>
    </w:p>
    <w:p w:rsidR="00DD04AE" w:rsidRPr="0042004F"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42004F">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12341E" w:rsidP="004A4B4E">
            <w:pPr>
              <w:bidi/>
              <w:jc w:val="center"/>
              <w:rPr>
                <w:rFonts w:asciiTheme="majorBidi" w:eastAsia="Simplified Arabic" w:hAnsiTheme="majorBidi" w:cstheme="majorBidi"/>
                <w:sz w:val="24"/>
                <w:szCs w:val="24"/>
              </w:rPr>
            </w:pPr>
            <w:bookmarkStart w:id="5" w:name="_2et92p0" w:colFirst="0" w:colLast="0"/>
            <w:bookmarkEnd w:id="5"/>
            <w:r>
              <w:rPr>
                <w:rFonts w:asciiTheme="majorBidi" w:hAnsiTheme="majorBidi" w:cstheme="majorBidi"/>
                <w:color w:val="000000"/>
                <w:sz w:val="24"/>
                <w:szCs w:val="24"/>
              </w:rPr>
              <w:t>16</w:t>
            </w:r>
            <w:r w:rsidR="00CA0363" w:rsidRPr="0042004F">
              <w:rPr>
                <w:rFonts w:asciiTheme="majorBidi" w:hAnsiTheme="majorBidi" w:cstheme="majorBidi"/>
                <w:color w:val="000000"/>
                <w:sz w:val="24"/>
                <w:szCs w:val="24"/>
              </w:rPr>
              <w:t xml:space="preserve"> Octo</w:t>
            </w:r>
            <w:r w:rsidR="005E7E36" w:rsidRPr="0042004F">
              <w:rPr>
                <w:rFonts w:asciiTheme="majorBidi" w:hAnsiTheme="majorBidi" w:cstheme="majorBidi"/>
                <w:color w:val="000000"/>
                <w:sz w:val="24"/>
                <w:szCs w:val="24"/>
              </w:rPr>
              <w:t>ber</w:t>
            </w:r>
            <w:r w:rsidR="001A2771" w:rsidRPr="0042004F">
              <w:rPr>
                <w:rFonts w:asciiTheme="majorBidi" w:hAnsiTheme="majorBidi" w:cstheme="majorBidi"/>
                <w:color w:val="000000"/>
                <w:sz w:val="24"/>
                <w:szCs w:val="24"/>
              </w:rPr>
              <w:t xml:space="preserve"> 202</w:t>
            </w:r>
            <w:r w:rsidR="004A4B4E">
              <w:rPr>
                <w:rFonts w:asciiTheme="majorBidi" w:hAnsiTheme="majorBidi" w:cstheme="majorBidi"/>
                <w:color w:val="000000"/>
                <w:sz w:val="24"/>
                <w:szCs w:val="24"/>
              </w:rPr>
              <w:t>4</w:t>
            </w:r>
          </w:p>
        </w:tc>
      </w:tr>
      <w:tr w:rsidR="00DD04AE" w:rsidRPr="0042004F">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1A2771">
            <w:pPr>
              <w:bidi/>
              <w:jc w:val="center"/>
              <w:rPr>
                <w:rFonts w:asciiTheme="majorBidi" w:eastAsia="Simplified Arabic" w:hAnsiTheme="majorBidi" w:cstheme="majorBidi"/>
                <w:sz w:val="24"/>
                <w:szCs w:val="24"/>
              </w:rPr>
            </w:pPr>
            <w:r w:rsidRPr="0042004F">
              <w:rPr>
                <w:rFonts w:asciiTheme="majorBidi" w:eastAsia="Simplified Arabic" w:hAnsiTheme="majorBidi" w:cstheme="majorBidi"/>
                <w:sz w:val="24"/>
                <w:szCs w:val="24"/>
              </w:rPr>
              <w:t>Chairman - Chief Executive Officer</w:t>
            </w:r>
          </w:p>
        </w:tc>
      </w:tr>
      <w:tr w:rsidR="00DD04AE" w:rsidRPr="0042004F">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1A2771">
            <w:pPr>
              <w:bidi/>
              <w:jc w:val="center"/>
              <w:rPr>
                <w:rFonts w:asciiTheme="majorBidi" w:eastAsia="Simplified Arabic" w:hAnsiTheme="majorBidi" w:cstheme="majorBidi"/>
                <w:sz w:val="24"/>
                <w:szCs w:val="24"/>
              </w:rPr>
            </w:pPr>
            <w:r w:rsidRPr="0042004F">
              <w:rPr>
                <w:rFonts w:asciiTheme="majorBidi" w:eastAsia="Simplified Arabic" w:hAnsiTheme="majorBidi" w:cstheme="majorBidi"/>
                <w:sz w:val="24"/>
                <w:szCs w:val="24"/>
              </w:rPr>
              <w:t>Salem Itani</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A2771">
            <w:pPr>
              <w:bidi/>
              <w:jc w:val="center"/>
              <w:rPr>
                <w:rFonts w:asciiTheme="majorBidi" w:eastAsia="Simplified Arabic" w:hAnsiTheme="majorBidi" w:cstheme="majorBidi"/>
                <w:sz w:val="24"/>
                <w:szCs w:val="24"/>
              </w:rPr>
            </w:pPr>
            <w:r w:rsidRPr="0042004F">
              <w:rPr>
                <w:rFonts w:asciiTheme="majorBidi" w:eastAsia="Simplified Arabic" w:hAnsiTheme="majorBidi" w:cstheme="majorBidi"/>
                <w:sz w:val="24"/>
                <w:szCs w:val="24"/>
              </w:rPr>
              <w:t>Salem Itani</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053443"/>
    <w:rsid w:val="0010674A"/>
    <w:rsid w:val="0012341E"/>
    <w:rsid w:val="001A2771"/>
    <w:rsid w:val="002331F9"/>
    <w:rsid w:val="0036139C"/>
    <w:rsid w:val="00375E77"/>
    <w:rsid w:val="0042004F"/>
    <w:rsid w:val="004427CF"/>
    <w:rsid w:val="004A4B4E"/>
    <w:rsid w:val="00516A3A"/>
    <w:rsid w:val="00553902"/>
    <w:rsid w:val="00583542"/>
    <w:rsid w:val="005E7E36"/>
    <w:rsid w:val="00663624"/>
    <w:rsid w:val="006646FB"/>
    <w:rsid w:val="007813E5"/>
    <w:rsid w:val="00797BC1"/>
    <w:rsid w:val="008B21AA"/>
    <w:rsid w:val="00934306"/>
    <w:rsid w:val="00A02F52"/>
    <w:rsid w:val="00C03181"/>
    <w:rsid w:val="00C13ADA"/>
    <w:rsid w:val="00C34E32"/>
    <w:rsid w:val="00C51356"/>
    <w:rsid w:val="00CA0363"/>
    <w:rsid w:val="00CE6109"/>
    <w:rsid w:val="00D2533F"/>
    <w:rsid w:val="00D90CE6"/>
    <w:rsid w:val="00DB1D53"/>
    <w:rsid w:val="00DC0F9E"/>
    <w:rsid w:val="00DD04AE"/>
    <w:rsid w:val="00F2189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7171"/>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87</cp:revision>
  <dcterms:created xsi:type="dcterms:W3CDTF">2023-02-01T11:13:00Z</dcterms:created>
  <dcterms:modified xsi:type="dcterms:W3CDTF">2024-10-16T10:55:00Z</dcterms:modified>
</cp:coreProperties>
</file>