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 w14:paraId="31AA3CCA" w14:textId="77777777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14:paraId="64FECC37" w14:textId="77777777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22FEC2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14:paraId="2F943D42" w14:textId="5E077177" w:rsidR="002914A1" w:rsidRPr="00637172" w:rsidRDefault="003A096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>وزارة الزراعة</w:t>
                  </w:r>
                </w:p>
              </w:tc>
            </w:tr>
          </w:tbl>
          <w:p w14:paraId="1DED3F83" w14:textId="77777777"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AEACDB3" w14:textId="77777777"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14:paraId="4CE22E55" w14:textId="02967E66"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3C7753">
        <w:rPr>
          <w:rFonts w:hint="cs"/>
          <w:b/>
          <w:bCs/>
          <w:sz w:val="32"/>
          <w:szCs w:val="32"/>
          <w:rtl/>
        </w:rPr>
        <w:t>202/1</w:t>
      </w:r>
    </w:p>
    <w:p w14:paraId="1C1858B5" w14:textId="77777777"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14:paraId="6D0FEBD2" w14:textId="77777777"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14:paraId="2E9273D4" w14:textId="77777777" w:rsidTr="00677116">
        <w:trPr>
          <w:trHeight w:val="699"/>
        </w:trPr>
        <w:tc>
          <w:tcPr>
            <w:tcW w:w="10695" w:type="dxa"/>
            <w:vAlign w:val="center"/>
          </w:tcPr>
          <w:p w14:paraId="16D6CFDA" w14:textId="2CC48953" w:rsidR="002914A1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3A096A">
              <w:rPr>
                <w:rFonts w:hint="cs"/>
                <w:b/>
                <w:sz w:val="27"/>
                <w:szCs w:val="27"/>
                <w:rtl/>
              </w:rPr>
              <w:t>مناقصة عمومية لتلزيم تقديم مصائد وفرمونات ومواد جذب وقتل للحشرات وادوية زراعية لزوم وزارة الزراعة- مديرية الثروة الزلراعية للعام 2025.</w:t>
            </w:r>
          </w:p>
          <w:p w14:paraId="49F09BB6" w14:textId="7510D5DA" w:rsidR="00F1388A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3A096A">
              <w:rPr>
                <w:rFonts w:hint="cs"/>
                <w:sz w:val="27"/>
                <w:szCs w:val="27"/>
                <w:rtl/>
              </w:rPr>
              <w:t>236/2025</w:t>
            </w:r>
            <w:r w:rsidR="002914A1" w:rsidRPr="0080537F">
              <w:rPr>
                <w:sz w:val="27"/>
                <w:szCs w:val="27"/>
                <w:rtl/>
              </w:rPr>
              <w:t xml:space="preserve">) تاريخ (تحديد تاريخ </w:t>
            </w:r>
            <w:r w:rsidR="003A096A">
              <w:rPr>
                <w:rFonts w:hint="cs"/>
                <w:sz w:val="27"/>
                <w:szCs w:val="27"/>
                <w:rtl/>
              </w:rPr>
              <w:t>13-2-2025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14:paraId="15407B12" w14:textId="77777777" w:rsidTr="00BA7283">
        <w:trPr>
          <w:trHeight w:val="9908"/>
        </w:trPr>
        <w:tc>
          <w:tcPr>
            <w:tcW w:w="10695" w:type="dxa"/>
          </w:tcPr>
          <w:p w14:paraId="43725645" w14:textId="41271196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3A096A">
              <w:rPr>
                <w:rFonts w:hint="cs"/>
                <w:color w:val="000000"/>
                <w:sz w:val="27"/>
                <w:szCs w:val="27"/>
                <w:rtl/>
              </w:rPr>
              <w:t>الساعة الثانية عشر من يوم الخميس 6-3-2025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اجتمعت لجنة التلزيم المشكّلة بموجب قرار</w:t>
            </w:r>
            <w:r w:rsidR="00FF1175">
              <w:rPr>
                <w:rFonts w:hint="cs"/>
                <w:color w:val="000000"/>
                <w:sz w:val="27"/>
                <w:szCs w:val="27"/>
                <w:rtl/>
              </w:rPr>
              <w:t xml:space="preserve"> رقم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FF1175">
              <w:rPr>
                <w:rFonts w:hint="cs"/>
                <w:color w:val="000000"/>
                <w:sz w:val="27"/>
                <w:szCs w:val="27"/>
                <w:rtl/>
              </w:rPr>
              <w:t>72/1</w:t>
            </w:r>
            <w:r w:rsidR="003A096A">
              <w:rPr>
                <w:rFonts w:hint="cs"/>
                <w:color w:val="000000"/>
                <w:sz w:val="27"/>
                <w:szCs w:val="27"/>
                <w:rtl/>
              </w:rPr>
              <w:t xml:space="preserve"> تاريخ</w:t>
            </w:r>
            <w:r w:rsidR="00FF1175">
              <w:rPr>
                <w:rFonts w:hint="cs"/>
                <w:color w:val="000000"/>
                <w:sz w:val="27"/>
                <w:szCs w:val="27"/>
                <w:rtl/>
              </w:rPr>
              <w:t xml:space="preserve"> 20</w:t>
            </w:r>
            <w:r w:rsidR="003C7753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FF1175">
              <w:rPr>
                <w:rFonts w:hint="cs"/>
                <w:color w:val="000000"/>
                <w:sz w:val="27"/>
                <w:szCs w:val="27"/>
                <w:rtl/>
              </w:rPr>
              <w:t>2</w:t>
            </w:r>
            <w:r w:rsidR="003C7753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FF1175">
              <w:rPr>
                <w:rFonts w:hint="cs"/>
                <w:color w:val="000000"/>
                <w:sz w:val="27"/>
                <w:szCs w:val="27"/>
                <w:rtl/>
              </w:rPr>
              <w:t>2025</w:t>
            </w:r>
            <w:r w:rsidR="003A096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؛ </w:t>
            </w:r>
          </w:p>
          <w:p w14:paraId="14646F22" w14:textId="0F0CAE15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3A096A">
              <w:rPr>
                <w:rFonts w:hint="cs"/>
                <w:color w:val="000000"/>
                <w:sz w:val="27"/>
                <w:szCs w:val="27"/>
                <w:rtl/>
              </w:rPr>
              <w:t>ثلاثة عروض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6C082B90" w14:textId="5D5710D0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3A096A">
              <w:rPr>
                <w:rFonts w:hint="cs"/>
                <w:color w:val="000000"/>
                <w:sz w:val="27"/>
                <w:szCs w:val="27"/>
                <w:rtl/>
              </w:rPr>
              <w:t>ثلاثة عروض بعد تأمين افادة التسجيل من دائرة الصيدلة النباتية لبعض الفرمونات ال</w:t>
            </w:r>
            <w:r w:rsidR="00FF1175">
              <w:rPr>
                <w:rFonts w:hint="cs"/>
                <w:color w:val="000000"/>
                <w:sz w:val="27"/>
                <w:szCs w:val="27"/>
                <w:rtl/>
              </w:rPr>
              <w:t>م</w:t>
            </w:r>
            <w:r w:rsidR="003A096A">
              <w:rPr>
                <w:rFonts w:hint="cs"/>
                <w:color w:val="000000"/>
                <w:sz w:val="27"/>
                <w:szCs w:val="27"/>
                <w:rtl/>
              </w:rPr>
              <w:t>نتهية الصلاحية من الخارج بتاريخ 3/4/2025 لشركتي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FF1175">
              <w:rPr>
                <w:rFonts w:hint="cs"/>
                <w:color w:val="000000"/>
                <w:sz w:val="27"/>
                <w:szCs w:val="27"/>
                <w:rtl/>
              </w:rPr>
              <w:t xml:space="preserve"> نبات وشركة علي عباس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3C7753">
              <w:rPr>
                <w:rFonts w:hint="cs"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>ض الفائز</w:t>
            </w:r>
            <w:r w:rsidR="003C7753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05E596BE" w14:textId="6B1AE5DF" w:rsidR="00AC0F13" w:rsidRDefault="001D3DDC" w:rsidP="00EB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وبعد تأكد</w:t>
            </w:r>
            <w:r w:rsidR="00FF117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الجهة الشارية من العروض الفائزة عملاً باحكام الفقرة (1) من المادة 24 من قانون الشراء العام، قررت ارساء</w:t>
            </w:r>
            <w:r w:rsidR="00723BE8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التلزيم موقتاً على العارض (مؤسسة علي عباس للتجارة العامة)، عنوانه الجنوب- منطقة السكسكية الشارع العام،</w:t>
            </w:r>
            <w:r w:rsidR="00603B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بالسعر الاجمالي المقدم منه، بما فيه الضريبة على القيمة المضافة، والبالغ</w:t>
            </w:r>
            <w:r w:rsidR="00EB6BF1">
              <w:rPr>
                <w:bCs/>
                <w:color w:val="000000"/>
                <w:sz w:val="27"/>
                <w:szCs w:val="27"/>
              </w:rPr>
              <w:t>60000000000</w:t>
            </w:r>
            <w:r w:rsidR="00EB6BF1">
              <w:rPr>
                <w:rFonts w:hint="cs"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B6BF1" w:rsidRPr="00EB6B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ل.ل.</w:t>
            </w:r>
            <w:r w:rsidR="00EB6B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فقط ستون مليار ليرة لبنانية، وعلى العارض ( الشركة الوطنية للانماء والتجارة </w:t>
            </w:r>
            <w:r w:rsidR="00EB6BF1">
              <w:rPr>
                <w:b/>
                <w:color w:val="000000"/>
                <w:sz w:val="27"/>
                <w:szCs w:val="27"/>
                <w:rtl/>
                <w:lang w:bidi="ar-LB"/>
              </w:rPr>
              <w:t>–</w:t>
            </w:r>
            <w:r w:rsidR="00EB6B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مدني اخواني) عنوانه الجنوب </w:t>
            </w:r>
            <w:r w:rsidR="00EB6BF1">
              <w:rPr>
                <w:b/>
                <w:color w:val="000000"/>
                <w:sz w:val="27"/>
                <w:szCs w:val="27"/>
                <w:rtl/>
                <w:lang w:bidi="ar-LB"/>
              </w:rPr>
              <w:t>–</w:t>
            </w:r>
            <w:r w:rsidR="00EB6B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منطقة صور شارع المصارف، بالسعر الاجمالي المقدم منه، بما فيه الضريبة على القيمة المضافة، والبالغ:</w:t>
            </w:r>
            <w:r w:rsidR="003728E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85217106000</w:t>
            </w:r>
            <w:r w:rsidR="00EB6B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ل.ل. فقط خمسة وثمانون مليار ومئتان وسبعة عشرة مليون ومئة وستة</w:t>
            </w:r>
            <w:r w:rsidR="003728E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B6B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ألاف ليرة لبنانية، وعلى العارض (شركة نبات ش.م.ل)، عنوانه صور </w:t>
            </w:r>
            <w:r w:rsidR="00EB6BF1">
              <w:rPr>
                <w:b/>
                <w:color w:val="000000"/>
                <w:sz w:val="27"/>
                <w:szCs w:val="27"/>
                <w:rtl/>
                <w:lang w:bidi="ar-LB"/>
              </w:rPr>
              <w:t>–</w:t>
            </w:r>
            <w:r w:rsidR="00EB6BF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منطقة العباسية الشارع العام، بالسعر الاجمالي المقدم منه، بما فيه الضريبة على القيمة المضافة، والبالغ 69300000000 ل.ل فقط تسعة وستون مليار وثلاثمئة مليون ليرة لبنانية.</w:t>
            </w:r>
          </w:p>
          <w:p w14:paraId="42233C85" w14:textId="77777777" w:rsidR="00EB6BF1" w:rsidRPr="0080537F" w:rsidRDefault="00EB6BF1" w:rsidP="00EB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</w:pPr>
          </w:p>
          <w:p w14:paraId="367516A0" w14:textId="30E43B4D" w:rsidR="00AC0F13" w:rsidRDefault="0080537F" w:rsidP="00CE4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="00CE4720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</w:t>
            </w:r>
            <w:r w:rsidR="00EB6BF1">
              <w:rPr>
                <w:rFonts w:hint="cs"/>
                <w:color w:val="000000"/>
                <w:sz w:val="27"/>
                <w:szCs w:val="27"/>
                <w:rtl/>
              </w:rPr>
              <w:t xml:space="preserve"> 25/4/</w:t>
            </w:r>
            <w:r w:rsidR="003C7753">
              <w:rPr>
                <w:rFonts w:hint="cs"/>
                <w:color w:val="000000"/>
                <w:sz w:val="27"/>
                <w:szCs w:val="27"/>
                <w:rtl/>
              </w:rPr>
              <w:t>2025 ولغاية 9/5/2025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نشر هذا القرار</w:t>
            </w:r>
            <w:r w:rsidR="00CE4720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14:paraId="44F1D2CA" w14:textId="77777777"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0C3060FC" w14:textId="77777777"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37054F9B" w14:textId="530B9C54" w:rsidR="00AC0F13" w:rsidRPr="0080537F" w:rsidRDefault="003C775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24/4/2025</w:t>
            </w:r>
          </w:p>
          <w:p w14:paraId="73201EA9" w14:textId="3EA243E6" w:rsidR="00AC0F13" w:rsidRDefault="003C775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وزير الزراعة</w:t>
            </w:r>
          </w:p>
          <w:p w14:paraId="72139489" w14:textId="77777777" w:rsidR="003C7753" w:rsidRDefault="003C775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</w:p>
          <w:p w14:paraId="50B39AA5" w14:textId="312DA1BB" w:rsidR="003C7753" w:rsidRPr="003C7753" w:rsidRDefault="003C775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3C7753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د. نزار هاني</w:t>
            </w:r>
          </w:p>
        </w:tc>
      </w:tr>
    </w:tbl>
    <w:p w14:paraId="65BE0DD2" w14:textId="77777777" w:rsidR="008F69C0" w:rsidRPr="008F69C0" w:rsidRDefault="008F69C0" w:rsidP="008F69C0">
      <w:pPr>
        <w:rPr>
          <w:sz w:val="27"/>
          <w:szCs w:val="27"/>
        </w:rPr>
      </w:pPr>
    </w:p>
    <w:p w14:paraId="4725188A" w14:textId="77777777" w:rsidR="008F69C0" w:rsidRPr="008F69C0" w:rsidRDefault="008F69C0" w:rsidP="008F69C0">
      <w:pPr>
        <w:rPr>
          <w:sz w:val="27"/>
          <w:szCs w:val="27"/>
        </w:rPr>
      </w:pPr>
    </w:p>
    <w:p w14:paraId="752B4B82" w14:textId="77777777" w:rsidR="008F69C0" w:rsidRPr="008F69C0" w:rsidRDefault="008F69C0" w:rsidP="008F69C0">
      <w:pPr>
        <w:rPr>
          <w:sz w:val="27"/>
          <w:szCs w:val="27"/>
        </w:rPr>
      </w:pPr>
    </w:p>
    <w:p w14:paraId="18FCB137" w14:textId="77777777" w:rsidR="008F69C0" w:rsidRPr="008F69C0" w:rsidRDefault="008F69C0" w:rsidP="008F69C0">
      <w:pPr>
        <w:rPr>
          <w:sz w:val="27"/>
          <w:szCs w:val="27"/>
        </w:rPr>
      </w:pPr>
    </w:p>
    <w:p w14:paraId="31274F8B" w14:textId="77777777"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  <w:bookmarkStart w:id="0" w:name="_GoBack"/>
      <w:bookmarkEnd w:id="0"/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4421" w14:textId="77777777" w:rsidR="00572BE9" w:rsidRDefault="00572BE9" w:rsidP="00C27E3D">
      <w:r>
        <w:separator/>
      </w:r>
    </w:p>
  </w:endnote>
  <w:endnote w:type="continuationSeparator" w:id="0">
    <w:p w14:paraId="6F29EC7E" w14:textId="77777777" w:rsidR="00572BE9" w:rsidRDefault="00572BE9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9EBF6" w14:textId="77777777"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14:paraId="615E2B69" w14:textId="77777777"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32411" w14:textId="77777777" w:rsidR="00572BE9" w:rsidRDefault="00572BE9" w:rsidP="00C27E3D">
      <w:r>
        <w:separator/>
      </w:r>
    </w:p>
  </w:footnote>
  <w:footnote w:type="continuationSeparator" w:id="0">
    <w:p w14:paraId="041A8D6D" w14:textId="77777777" w:rsidR="00572BE9" w:rsidRDefault="00572BE9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8A"/>
    <w:rsid w:val="00010E12"/>
    <w:rsid w:val="00081F8E"/>
    <w:rsid w:val="00087EA0"/>
    <w:rsid w:val="001D3DDC"/>
    <w:rsid w:val="00260DB7"/>
    <w:rsid w:val="002914A1"/>
    <w:rsid w:val="002943B6"/>
    <w:rsid w:val="003728E7"/>
    <w:rsid w:val="003A096A"/>
    <w:rsid w:val="003C7753"/>
    <w:rsid w:val="003D3A1E"/>
    <w:rsid w:val="004B71AD"/>
    <w:rsid w:val="005662BD"/>
    <w:rsid w:val="00572BE9"/>
    <w:rsid w:val="005E38C4"/>
    <w:rsid w:val="005F616D"/>
    <w:rsid w:val="00603BCD"/>
    <w:rsid w:val="00637172"/>
    <w:rsid w:val="00677116"/>
    <w:rsid w:val="006814DC"/>
    <w:rsid w:val="00695EB8"/>
    <w:rsid w:val="006C4594"/>
    <w:rsid w:val="00707C49"/>
    <w:rsid w:val="00723BE8"/>
    <w:rsid w:val="0080537F"/>
    <w:rsid w:val="00843C05"/>
    <w:rsid w:val="00862C0D"/>
    <w:rsid w:val="0088070C"/>
    <w:rsid w:val="008F69C0"/>
    <w:rsid w:val="00A92EEF"/>
    <w:rsid w:val="00AC0F13"/>
    <w:rsid w:val="00BA7283"/>
    <w:rsid w:val="00C27E3D"/>
    <w:rsid w:val="00CC001D"/>
    <w:rsid w:val="00CE4720"/>
    <w:rsid w:val="00EB6BF1"/>
    <w:rsid w:val="00F1388A"/>
    <w:rsid w:val="00F307DE"/>
    <w:rsid w:val="00FF0B7B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388B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2025-04-24T08:11:00Z</dcterms:created>
  <dcterms:modified xsi:type="dcterms:W3CDTF">2025-04-24T08:11:00Z</dcterms:modified>
</cp:coreProperties>
</file>