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3450.0" w:type="dxa"/>
        <w:jc w:val="left"/>
        <w:tblInd w:w="-3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50"/>
        <w:tblGridChange w:id="0">
          <w:tblGrid>
            <w:gridCol w:w="34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2880.0" w:type="dxa"/>
              <w:jc w:val="left"/>
              <w:tblBorders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880"/>
              <w:tblGridChange w:id="0">
                <w:tblGrid>
                  <w:gridCol w:w="28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3">
                  <w:pPr>
                    <w:tabs>
                      <w:tab w:val="center" w:leader="none" w:pos="-2837"/>
                      <w:tab w:val="center" w:leader="none" w:pos="-2695"/>
                      <w:tab w:val="center" w:leader="none" w:pos="4153"/>
                      <w:tab w:val="right" w:leader="none" w:pos="8306"/>
                      <w:tab w:val="right" w:leader="none" w:pos="12191"/>
                    </w:tabs>
                    <w:bidi w:val="1"/>
                    <w:spacing w:before="60" w:line="276" w:lineRule="auto"/>
                    <w:jc w:val="center"/>
                    <w:rPr>
                      <w:b w:val="1"/>
                      <w:i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الجمهورية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اللبنانية</w:t>
                  </w:r>
                </w:p>
                <w:p w:rsidR="00000000" w:rsidDel="00000000" w:rsidP="00000000" w:rsidRDefault="00000000" w:rsidRPr="00000000" w14:paraId="00000004">
                  <w:pPr>
                    <w:tabs>
                      <w:tab w:val="center" w:leader="none" w:pos="-2837"/>
                      <w:tab w:val="center" w:leader="none" w:pos="-2695"/>
                      <w:tab w:val="center" w:leader="none" w:pos="4153"/>
                      <w:tab w:val="right" w:leader="none" w:pos="8306"/>
                      <w:tab w:val="right" w:leader="none" w:pos="12191"/>
                    </w:tabs>
                    <w:bidi w:val="1"/>
                    <w:spacing w:before="60" w:line="276" w:lineRule="auto"/>
                    <w:jc w:val="center"/>
                    <w:rPr>
                      <w:b w:val="1"/>
                      <w:i w:val="1"/>
                      <w:color w:val="000000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تحديد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اسم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الجهة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i w:val="1"/>
                      <w:color w:val="000000"/>
                      <w:sz w:val="32"/>
                      <w:szCs w:val="32"/>
                      <w:rtl w:val="1"/>
                    </w:rPr>
                    <w:t xml:space="preserve">الشارية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bidi w:val="1"/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line="276" w:lineRule="auto"/>
        <w:jc w:val="center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قرار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مجلس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الإدارة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٥-٣ / ٢٠٢٤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٥/٢/ ٢٠٢٤</w:t>
      </w:r>
    </w:p>
    <w:p w:rsidR="00000000" w:rsidDel="00000000" w:rsidP="00000000" w:rsidRDefault="00000000" w:rsidRPr="00000000" w14:paraId="00000008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قبول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الفائز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شركة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كيودوس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ميدل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ايست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عشرة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spacing w:line="276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695.0" w:type="dxa"/>
        <w:jc w:val="left"/>
        <w:tblInd w:w="-3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tabs>
                <w:tab w:val="left" w:leader="none" w:pos="6094"/>
              </w:tabs>
              <w:bidi w:val="1"/>
              <w:spacing w:line="276" w:lineRule="auto"/>
              <w:jc w:val="both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الموضوع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نتيجة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مناقصة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عمومية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لتلزيم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اعمال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التدقيق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بالبيانات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المالية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لاعوام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٢٠٢١ _ ٢٠٢٢ _٢٠٢٣</w:t>
            </w:r>
          </w:p>
          <w:p w:rsidR="00000000" w:rsidDel="00000000" w:rsidP="00000000" w:rsidRDefault="00000000" w:rsidRPr="00000000" w14:paraId="0000000C">
            <w:pPr>
              <w:keepNext w:val="1"/>
              <w:tabs>
                <w:tab w:val="left" w:leader="none" w:pos="6094"/>
              </w:tabs>
              <w:bidi w:val="1"/>
              <w:spacing w:line="276" w:lineRule="auto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المرجع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الصفقة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المعلن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عنها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المنصة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الإلكترونية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المركزية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لدى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هيئة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الشراء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برقم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 ١٨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ش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-٢٠٢٣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تاريخ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١٥ / ١٢ / ٢٠٢٣ </w:t>
            </w:r>
          </w:p>
        </w:tc>
      </w:tr>
      <w:tr>
        <w:trPr>
          <w:cantSplit w:val="0"/>
          <w:trHeight w:val="990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تمام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الساعة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١٢:١٥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من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نهار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الخميس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للواقع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في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١١ / ١ / ٢٠٢٤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اجتمعت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لجنة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التلزيم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المشك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ّ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بموجب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قرار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مجلس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الإدارة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رقم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١١٣ _ ١٣ / ٢٠٢٤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تاريخ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٨ / ١٢ / ٢٠٢٣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استلمت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لجنة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التلزيم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الملف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مع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كامل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محتوياته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واطلعت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محضر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العروض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وتبين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أنه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تقدم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لهذا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التلزيم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/٢ /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عرضين</w:t>
            </w:r>
            <w:r w:rsidDel="00000000" w:rsidR="00000000" w:rsidRPr="00000000">
              <w:rPr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after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قامت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لجنة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التلزيم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بتدقيق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مستندات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الغلاف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الأول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لكل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عرض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حدة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،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وقد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قبول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العرضين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 ،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ثم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انتقلت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بعدها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الى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فتح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غلافات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الأسعار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للعروض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المقبولة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وقد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تحديد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العرض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الفائز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after="240" w:line="276" w:lineRule="auto"/>
              <w:jc w:val="both"/>
              <w:rPr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وبعد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تأكد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الجهة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الشارية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العرض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الفائز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بأحكام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الفقر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(1)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24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قانون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الشراء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العام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قررت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ارساء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التلزيم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مؤقت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العارض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شركة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كيودوس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ميدل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ايست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)،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عنوانه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الصنائع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_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مبنى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اليافي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_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الطابق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بالسعر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الإجمالي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المقدم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منه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فيه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الضريبة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القيمة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المضافة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والبالغ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: /٥٣٢٨٠/ 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فقط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ثلاثة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وخمسون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الف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ومئتان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وثمانون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دولار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اميركي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وبذلك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تكون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فترة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التجميد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البالغة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/10/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عشرة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أيام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عمل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تاريخ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نشر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هذا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القرار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قد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بدأت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بتاريخ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 ١٨ / ٣ / ٢٠٢٤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وتنتهي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بتاريخ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٢ / ٤ / ٢٠٢٤</w:t>
            </w:r>
            <w:r w:rsidDel="00000000" w:rsidR="00000000" w:rsidRPr="00000000">
              <w:rPr>
                <w:color w:val="000000"/>
                <w:sz w:val="27"/>
                <w:szCs w:val="27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ي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ُ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نشر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هذا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القرار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على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المنصة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الإلكترونية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المركزية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لدى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هيئة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الشراء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العام</w:t>
            </w:r>
            <w:r w:rsidDel="00000000" w:rsidR="00000000" w:rsidRPr="00000000">
              <w:rPr>
                <w:color w:val="000000"/>
                <w:sz w:val="27"/>
                <w:szCs w:val="27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right"/>
              <w:rPr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١٨ / ٣ / ٢٠٢٤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right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كلير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بيطار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right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رئيسة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الشؤون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المشتركة</w:t>
            </w:r>
            <w:r w:rsidDel="00000000" w:rsidR="00000000" w:rsidRPr="00000000">
              <w:rPr>
                <w:b w:val="1"/>
                <w:sz w:val="27"/>
                <w:szCs w:val="27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9389"/>
              </w:tabs>
              <w:bidi w:val="1"/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b w:val="1"/>
                <w:color w:val="000000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rPr>
          <w:sz w:val="27"/>
          <w:szCs w:val="2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099"/>
        </w:tabs>
        <w:bidi w:val="1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ab/>
      </w:r>
    </w:p>
    <w:sectPr>
      <w:footerReference r:id="rId6" w:type="default"/>
      <w:pgSz w:h="16838" w:w="11906" w:orient="portrait"/>
      <w:pgMar w:bottom="289" w:top="360" w:left="851" w:right="851" w:header="56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leader="none" w:pos="4680"/>
        <w:tab w:val="right" w:leader="none" w:pos="9360"/>
      </w:tabs>
      <w:bidi w:val="1"/>
      <w:ind w:hanging="2"/>
      <w:jc w:val="both"/>
      <w:rPr>
        <w:color w:val="000000"/>
      </w:rPr>
    </w:pPr>
    <w:r w:rsidDel="00000000" w:rsidR="00000000" w:rsidRPr="00000000">
      <w:rPr>
        <w:color w:val="000000"/>
        <w:rtl w:val="1"/>
      </w:rPr>
      <w:t xml:space="preserve">ي</w:t>
    </w:r>
    <w:r w:rsidDel="00000000" w:rsidR="00000000" w:rsidRPr="00000000">
      <w:rPr>
        <w:color w:val="000000"/>
        <w:rtl w:val="1"/>
      </w:rPr>
      <w:t xml:space="preserve">ُ</w:t>
    </w:r>
    <w:r w:rsidDel="00000000" w:rsidR="00000000" w:rsidRPr="00000000">
      <w:rPr>
        <w:color w:val="000000"/>
        <w:rtl w:val="1"/>
      </w:rPr>
      <w:t xml:space="preserve">رجى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ارسال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القرار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بصيغة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0"/>
      </w:rPr>
      <w:t xml:space="preserve">word</w:t>
    </w:r>
    <w:r w:rsidDel="00000000" w:rsidR="00000000" w:rsidRPr="00000000">
      <w:rPr>
        <w:color w:val="000000"/>
        <w:rtl w:val="0"/>
      </w:rPr>
      <w:t xml:space="preserve"> + </w:t>
    </w:r>
    <w:r w:rsidDel="00000000" w:rsidR="00000000" w:rsidRPr="00000000">
      <w:rPr>
        <w:color w:val="000000"/>
        <w:rtl w:val="0"/>
      </w:rPr>
      <w:t xml:space="preserve">pdf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على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البريد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الالكتروني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لهيئة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الشراء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العام</w:t>
    </w:r>
    <w:r w:rsidDel="00000000" w:rsidR="00000000" w:rsidRPr="00000000">
      <w:rPr>
        <w:color w:val="000000"/>
        <w:rtl w:val="1"/>
      </w:rPr>
      <w:t xml:space="preserve"> </w:t>
    </w:r>
    <w:hyperlink r:id="rId1">
      <w:r w:rsidDel="00000000" w:rsidR="00000000" w:rsidRPr="00000000">
        <w:rPr>
          <w:color w:val="0000ff"/>
          <w:u w:val="single"/>
          <w:rtl w:val="0"/>
        </w:rPr>
        <w:t xml:space="preserve">contact@ppa.gov.lb</w:t>
      </w:r>
    </w:hyperlink>
    <w:r w:rsidDel="00000000" w:rsidR="00000000" w:rsidRPr="00000000">
      <w:rPr>
        <w:rtl w:val="0"/>
      </w:rPr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بعد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تعبئته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من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قبل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الجهة</w:t>
    </w:r>
    <w:r w:rsidDel="00000000" w:rsidR="00000000" w:rsidRPr="00000000">
      <w:rPr>
        <w:color w:val="000000"/>
        <w:rtl w:val="1"/>
      </w:rPr>
      <w:t xml:space="preserve"> </w:t>
    </w:r>
    <w:r w:rsidDel="00000000" w:rsidR="00000000" w:rsidRPr="00000000">
      <w:rPr>
        <w:color w:val="000000"/>
        <w:rtl w:val="1"/>
      </w:rPr>
      <w:t xml:space="preserve">الشارية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