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bookmarkStart w:id="0" w:name="_GoBack"/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A90AE4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مجلس النواب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A90AE4">
        <w:rPr>
          <w:rFonts w:hint="cs"/>
          <w:b/>
          <w:bCs/>
          <w:sz w:val="32"/>
          <w:szCs w:val="32"/>
          <w:rtl/>
        </w:rPr>
        <w:t>١١١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</w:t>
      </w:r>
      <w:bookmarkEnd w:id="0"/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A90AE4" w:rsidRPr="00A90AE4">
              <w:rPr>
                <w:b/>
                <w:sz w:val="27"/>
                <w:szCs w:val="27"/>
                <w:rtl/>
              </w:rPr>
              <w:t>مناقصة عمومية لخدمات تنظيف ورش مبيدات لمجلس النواب (المبنى الرئيسي –ومبنى مكاتب النواب</w:t>
            </w:r>
            <w:r w:rsidR="00A90AE4">
              <w:rPr>
                <w:rFonts w:hint="cs"/>
                <w:b/>
                <w:sz w:val="27"/>
                <w:szCs w:val="27"/>
                <w:rtl/>
              </w:rPr>
              <w:t>)</w:t>
            </w:r>
          </w:p>
          <w:p w:rsidR="00A90AE4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A90AE4">
              <w:rPr>
                <w:rFonts w:hint="cs"/>
                <w:sz w:val="27"/>
                <w:szCs w:val="27"/>
                <w:rtl/>
              </w:rPr>
              <w:t>١٥٦٥/٢٠٢٣</w:t>
            </w:r>
            <w:r w:rsidR="002914A1" w:rsidRPr="0080537F">
              <w:rPr>
                <w:sz w:val="27"/>
                <w:szCs w:val="27"/>
                <w:rtl/>
              </w:rPr>
              <w:t xml:space="preserve">) </w:t>
            </w:r>
          </w:p>
          <w:p w:rsidR="00F1388A" w:rsidRPr="0080537F" w:rsidRDefault="002914A1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sz w:val="27"/>
                <w:szCs w:val="27"/>
                <w:rtl/>
              </w:rPr>
              <w:t xml:space="preserve">تاريخ </w:t>
            </w:r>
            <w:r w:rsidR="00A90AE4">
              <w:rPr>
                <w:rFonts w:hint="cs"/>
                <w:sz w:val="27"/>
                <w:szCs w:val="27"/>
                <w:rtl/>
              </w:rPr>
              <w:t xml:space="preserve"> ٩ تشرين الثاني ٢٠٢٣ 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</w:t>
            </w:r>
            <w:r w:rsidR="00A90AE4">
              <w:rPr>
                <w:rFonts w:hint="cs"/>
                <w:color w:val="000000"/>
                <w:sz w:val="27"/>
                <w:szCs w:val="27"/>
                <w:rtl/>
              </w:rPr>
              <w:t xml:space="preserve"> الساعة ١١ من </w:t>
            </w:r>
            <w:r w:rsidR="00A90AE4"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صباح يوم الخميس الواقع في ٣٠ تشرين الثاني </w:t>
            </w:r>
            <w:r w:rsidR="00071575"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٢٠٢٣</w:t>
            </w:r>
            <w:r w:rsidR="00071575">
              <w:rPr>
                <w:rFonts w:hint="cs"/>
                <w:color w:val="000000"/>
                <w:sz w:val="27"/>
                <w:szCs w:val="27"/>
                <w:rtl/>
              </w:rPr>
              <w:t xml:space="preserve"> اجتمعت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لجنة التلزيم المشكّلة بموجب قرار </w:t>
            </w:r>
            <w:r w:rsidR="00071575"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رئيس مجلس النواب رقم ١٨٩٣ تاريخ ٢٩/١١/٢٠٢٣</w:t>
            </w:r>
            <w:r w:rsidR="0007157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80537F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71575">
              <w:rPr>
                <w:rFonts w:hint="cs"/>
                <w:color w:val="000000"/>
                <w:sz w:val="27"/>
                <w:szCs w:val="27"/>
                <w:rtl/>
              </w:rPr>
              <w:t>٣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/ </w:t>
            </w:r>
            <w:r w:rsidR="00071575">
              <w:rPr>
                <w:rFonts w:hint="cs"/>
                <w:color w:val="000000"/>
                <w:sz w:val="27"/>
                <w:szCs w:val="27"/>
                <w:rtl/>
              </w:rPr>
              <w:t>عروض</w:t>
            </w:r>
          </w:p>
          <w:p w:rsidR="00071575" w:rsidRDefault="0080537F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</w:t>
            </w:r>
            <w:r w:rsidR="00B015E1" w:rsidRPr="0080537F">
              <w:rPr>
                <w:rFonts w:hint="cs"/>
                <w:color w:val="000000"/>
                <w:sz w:val="27"/>
                <w:szCs w:val="27"/>
                <w:rtl/>
              </w:rPr>
              <w:t>حدة،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قد</w:t>
            </w:r>
            <w:r w:rsidR="00071575">
              <w:rPr>
                <w:rFonts w:hint="cs"/>
                <w:color w:val="000000"/>
                <w:sz w:val="27"/>
                <w:szCs w:val="27"/>
                <w:rtl/>
              </w:rPr>
              <w:t xml:space="preserve"> تبين:</w:t>
            </w:r>
          </w:p>
          <w:p w:rsidR="00071575" w:rsidRPr="00B015E1" w:rsidRDefault="00071575" w:rsidP="00B015E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B015E1">
              <w:rPr>
                <w:rFonts w:hint="cs"/>
                <w:color w:val="000000"/>
                <w:sz w:val="27"/>
                <w:szCs w:val="27"/>
                <w:rtl/>
              </w:rPr>
              <w:t>استيفاء عرض من أصل ٣ عروض للشروط الإدارية والفنية المنصوص عليها في دفتر الشروط الخاص بالصفقة</w:t>
            </w:r>
          </w:p>
          <w:p w:rsidR="00071575" w:rsidRPr="00B015E1" w:rsidRDefault="00071575" w:rsidP="00B015E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  <w:r w:rsidRPr="00B015E1">
              <w:rPr>
                <w:rFonts w:hint="cs"/>
                <w:color w:val="000000"/>
                <w:sz w:val="27"/>
                <w:szCs w:val="27"/>
                <w:rtl/>
              </w:rPr>
              <w:t xml:space="preserve">وجود نواقص في المستندات الإدارية لكل من العرضين المتبقيين. </w:t>
            </w:r>
          </w:p>
          <w:p w:rsidR="004F18AD" w:rsidRDefault="00071575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بناء عليه، وعملاً بأحكام الفقرة الثالثة من المادة ٥٥ من قانون الشراء العام، أمهلت لجنة التلزيم العارضين</w:t>
            </w:r>
            <w:r w:rsidR="00B015E1">
              <w:rPr>
                <w:rFonts w:hint="cs"/>
                <w:color w:val="000000"/>
                <w:sz w:val="27"/>
                <w:szCs w:val="27"/>
                <w:rtl/>
              </w:rPr>
              <w:t xml:space="preserve"> الاثنين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لغاية نهار الخميس الواقع في  ١٤/١٢/٢٠٢٣ عند الساعة العاشرة والنصف صباحاً </w:t>
            </w:r>
            <w:r w:rsidR="004F18AD">
              <w:rPr>
                <w:rFonts w:hint="cs"/>
                <w:color w:val="000000"/>
                <w:sz w:val="27"/>
                <w:szCs w:val="27"/>
                <w:rtl/>
              </w:rPr>
              <w:t xml:space="preserve">لاستدراك النواقص. </w:t>
            </w:r>
          </w:p>
          <w:p w:rsidR="00071575" w:rsidRPr="004F18AD" w:rsidRDefault="004F18AD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في تمام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عند الساعة العاشرة والنصف صباحاً من يوم الخميس الواقع في  ١٤/١٢/٢٠٢٣ اجتمعت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لجنة التلزيم المشكّلة بموجب قرار </w:t>
            </w:r>
            <w:r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رئيس مجلس النواب رقم ١٨٩٣ تاريخ ٢٩/١١/٢٠٢٣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لاستكمال فض العروض، حيث تبين أنه لم يتم استدراك النواقص المطلوبة من قبل كلا العارضين ضمن المهلة المحددة أعلاه.  </w:t>
            </w:r>
          </w:p>
          <w:p w:rsidR="001E3BA6" w:rsidRPr="001E3BA6" w:rsidRDefault="001E3BA6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عملاً بأحكام قانون الشراء العام ودفتر الشروط، </w:t>
            </w:r>
            <w:r w:rsidR="004F18AD">
              <w:rPr>
                <w:rFonts w:hint="cs"/>
                <w:color w:val="000000"/>
                <w:sz w:val="27"/>
                <w:szCs w:val="27"/>
                <w:rtl/>
              </w:rPr>
              <w:t xml:space="preserve">رفضت اللجنة العرضين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لعدم استكمال المستندات،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ثم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انتقلت بعدها الى فتح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ال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غلاف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رقم 2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للعرض الوحيد المقبول</w:t>
            </w:r>
            <w:r w:rsidRPr="0080537F">
              <w:rPr>
                <w:color w:val="000000"/>
                <w:sz w:val="27"/>
                <w:szCs w:val="27"/>
                <w:rtl/>
              </w:rPr>
              <w:t>؛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وبما أنه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015E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وبذلك </w:t>
            </w:r>
            <w:r w:rsidR="00B015E1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يكون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قد 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تقدم لهذا التلزيم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وبعد التأكد من توافر 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:rsidR="001E3BA6" w:rsidRPr="00B015E1" w:rsidRDefault="001E3BA6" w:rsidP="00B015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b/>
                <w:color w:val="000000"/>
                <w:sz w:val="27"/>
                <w:szCs w:val="27"/>
              </w:rPr>
            </w:pPr>
            <w:r w:rsidRPr="00B015E1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:rsidR="001E3BA6" w:rsidRPr="00B015E1" w:rsidRDefault="001E3BA6" w:rsidP="00B015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b/>
                <w:color w:val="000000"/>
                <w:sz w:val="27"/>
                <w:szCs w:val="27"/>
              </w:rPr>
            </w:pPr>
            <w:r w:rsidRPr="00B015E1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:rsidR="001E3BA6" w:rsidRPr="00B015E1" w:rsidRDefault="001E3BA6" w:rsidP="00B015E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b/>
                <w:color w:val="000000"/>
                <w:sz w:val="27"/>
                <w:szCs w:val="27"/>
              </w:rPr>
            </w:pPr>
            <w:r w:rsidRPr="00B015E1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:rsidR="00F1388A" w:rsidRPr="001E3BA6" w:rsidRDefault="00BA7283" w:rsidP="00562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  <w:r w:rsidRPr="001E3BA6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1E3BA6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1E3BA6">
              <w:rPr>
                <w:b/>
                <w:sz w:val="27"/>
                <w:szCs w:val="27"/>
                <w:rtl/>
              </w:rPr>
              <w:t>ة</w:t>
            </w:r>
            <w:r w:rsidRPr="001E3BA6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1E3BA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E3BA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شركة </w:t>
            </w:r>
            <w:r w:rsidR="001E3BA6">
              <w:rPr>
                <w:b/>
                <w:color w:val="000000"/>
                <w:sz w:val="27"/>
                <w:szCs w:val="27"/>
              </w:rPr>
              <w:t>Value Engineering and Construction</w:t>
            </w:r>
            <w:r w:rsidR="001E3BA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E3BA6" w:rsidRPr="001E3BA6">
              <w:rPr>
                <w:rFonts w:hint="cs"/>
                <w:bCs/>
                <w:color w:val="000000"/>
                <w:sz w:val="27"/>
                <w:szCs w:val="27"/>
                <w:rtl/>
              </w:rPr>
              <w:t>ش.م.م.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 xml:space="preserve"> عنوانه </w:t>
            </w:r>
            <w:r w:rsidR="0080537F" w:rsidRPr="0056242C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="0056242C">
              <w:rPr>
                <w:b/>
                <w:color w:val="000000"/>
                <w:sz w:val="27"/>
                <w:szCs w:val="27"/>
              </w:rPr>
              <w:t xml:space="preserve">Beirut – </w:t>
            </w:r>
            <w:proofErr w:type="spellStart"/>
            <w:r w:rsidR="0056242C">
              <w:rPr>
                <w:b/>
                <w:color w:val="000000"/>
                <w:sz w:val="27"/>
                <w:szCs w:val="27"/>
              </w:rPr>
              <w:t>zouk</w:t>
            </w:r>
            <w:proofErr w:type="spellEnd"/>
            <w:r w:rsidR="0056242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56242C">
              <w:rPr>
                <w:b/>
                <w:color w:val="000000"/>
                <w:sz w:val="27"/>
                <w:szCs w:val="27"/>
              </w:rPr>
              <w:t>elkhrab</w:t>
            </w:r>
            <w:proofErr w:type="spellEnd"/>
            <w:r w:rsidR="0056242C">
              <w:rPr>
                <w:b/>
                <w:color w:val="000000"/>
                <w:sz w:val="27"/>
                <w:szCs w:val="27"/>
              </w:rPr>
              <w:t xml:space="preserve"> street 51/sector 1 </w:t>
            </w:r>
            <w:proofErr w:type="spellStart"/>
            <w:r w:rsidR="0056242C">
              <w:rPr>
                <w:b/>
                <w:color w:val="000000"/>
                <w:sz w:val="27"/>
                <w:szCs w:val="27"/>
              </w:rPr>
              <w:t>bldg</w:t>
            </w:r>
            <w:proofErr w:type="spellEnd"/>
            <w:r w:rsidR="0056242C">
              <w:rPr>
                <w:b/>
                <w:color w:val="000000"/>
                <w:sz w:val="27"/>
                <w:szCs w:val="27"/>
              </w:rPr>
              <w:t xml:space="preserve"> #</w:t>
            </w:r>
            <w:r w:rsidR="0056242C">
              <w:rPr>
                <w:b/>
                <w:color w:val="000000"/>
                <w:sz w:val="27"/>
                <w:szCs w:val="27"/>
                <w:lang w:bidi="ar-LB"/>
              </w:rPr>
              <w:t>90 2end floor</w:t>
            </w:r>
            <w:r w:rsidR="0080537F" w:rsidRPr="0056242C">
              <w:rPr>
                <w:b/>
                <w:color w:val="000000"/>
                <w:sz w:val="27"/>
                <w:szCs w:val="27"/>
                <w:rtl/>
              </w:rPr>
              <w:t>)،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بما فيه الضريبة على القيمة المضافة، والبالغ: /</w:t>
            </w:r>
            <w:r w:rsidR="001E3BA6">
              <w:rPr>
                <w:b/>
                <w:color w:val="000000"/>
                <w:sz w:val="27"/>
                <w:szCs w:val="27"/>
              </w:rPr>
              <w:t>115,900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>/</w:t>
            </w:r>
            <w:r w:rsidR="001E3BA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دولار أميركي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 xml:space="preserve"> فقط </w:t>
            </w:r>
            <w:r w:rsidR="001E3BA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ماية </w:t>
            </w:r>
            <w:r w:rsidR="001E3BA6" w:rsidRPr="001E3BA6">
              <w:rPr>
                <w:rFonts w:hint="cs"/>
                <w:color w:val="000000"/>
                <w:sz w:val="27"/>
                <w:szCs w:val="27"/>
                <w:rtl/>
              </w:rPr>
              <w:t>وخمسة عشر ألفاً وتسعمائة دولار أميركي فقط لا غير</w:t>
            </w:r>
          </w:p>
          <w:p w:rsidR="00AC0F13" w:rsidRPr="0080537F" w:rsidRDefault="0080537F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1E3BA6">
              <w:rPr>
                <w:rFonts w:hint="cs"/>
                <w:color w:val="000000"/>
                <w:sz w:val="27"/>
                <w:szCs w:val="27"/>
                <w:rtl/>
              </w:rPr>
              <w:t>٢١/١٢/٢٠٢٣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وتنتهي بتاريخ </w:t>
            </w:r>
            <w:r w:rsidR="001E3BA6">
              <w:rPr>
                <w:rFonts w:hint="cs"/>
                <w:color w:val="000000"/>
                <w:sz w:val="27"/>
                <w:szCs w:val="27"/>
                <w:rtl/>
              </w:rPr>
              <w:t xml:space="preserve">٥/١/٢٠٢٤. </w:t>
            </w:r>
          </w:p>
          <w:p w:rsidR="00AC0F13" w:rsidRPr="0080537F" w:rsidRDefault="00AC0F13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56242C" w:rsidP="00562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0"/>
                <w:tab w:val="right" w:pos="9389"/>
                <w:tab w:val="right" w:pos="10465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  <w:rtl/>
              </w:rPr>
              <w:tab/>
            </w:r>
            <w:r>
              <w:rPr>
                <w:b/>
                <w:bCs/>
                <w:color w:val="000000"/>
                <w:sz w:val="27"/>
                <w:szCs w:val="27"/>
                <w:rtl/>
              </w:rPr>
              <w:tab/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 (</w:t>
            </w:r>
            <w:r w:rsidR="001E3BA6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٢١/١٢/٢٠٢٣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56242C" w:rsidRDefault="0056242C" w:rsidP="00562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0"/>
                <w:tab w:val="right" w:pos="9389"/>
              </w:tabs>
              <w:spacing w:line="276" w:lineRule="auto"/>
              <w:rPr>
                <w:b/>
                <w:bCs/>
                <w:sz w:val="27"/>
                <w:szCs w:val="27"/>
                <w:rtl/>
                <w:lang w:bidi="ar-LB"/>
              </w:rPr>
            </w:pPr>
            <w:r>
              <w:rPr>
                <w:b/>
                <w:bCs/>
                <w:sz w:val="27"/>
                <w:szCs w:val="27"/>
                <w:rtl/>
              </w:rPr>
              <w:tab/>
            </w:r>
            <w:r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رئيس مجلس النواب</w:t>
            </w:r>
          </w:p>
          <w:p w:rsidR="00695EB8" w:rsidRPr="0056242C" w:rsidRDefault="0056242C" w:rsidP="00562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0"/>
                <w:tab w:val="right" w:pos="9389"/>
              </w:tabs>
              <w:spacing w:line="276" w:lineRule="auto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 xml:space="preserve">                                                                                                                            نبيه بري</w:t>
            </w:r>
            <w:r>
              <w:rPr>
                <w:b/>
                <w:bCs/>
                <w:sz w:val="27"/>
                <w:szCs w:val="27"/>
                <w:rtl/>
              </w:rPr>
              <w:tab/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02" w:rsidRDefault="00FE3902" w:rsidP="00C27E3D">
      <w:r>
        <w:separator/>
      </w:r>
    </w:p>
  </w:endnote>
  <w:endnote w:type="continuationSeparator" w:id="0">
    <w:p w:rsidR="00FE3902" w:rsidRDefault="00FE390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02" w:rsidRDefault="00FE3902" w:rsidP="00C27E3D">
      <w:r>
        <w:separator/>
      </w:r>
    </w:p>
  </w:footnote>
  <w:footnote w:type="continuationSeparator" w:id="0">
    <w:p w:rsidR="00FE3902" w:rsidRDefault="00FE390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BA56BA6"/>
    <w:multiLevelType w:val="hybridMultilevel"/>
    <w:tmpl w:val="4120ED54"/>
    <w:lvl w:ilvl="0" w:tplc="B2D4FB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A10757"/>
    <w:multiLevelType w:val="hybridMultilevel"/>
    <w:tmpl w:val="8AD4711C"/>
    <w:lvl w:ilvl="0" w:tplc="B2D4F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C5FFB"/>
    <w:multiLevelType w:val="hybridMultilevel"/>
    <w:tmpl w:val="BC62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71575"/>
    <w:rsid w:val="00081F8E"/>
    <w:rsid w:val="001D3DDC"/>
    <w:rsid w:val="001E3BA6"/>
    <w:rsid w:val="002914A1"/>
    <w:rsid w:val="002943B6"/>
    <w:rsid w:val="0030472A"/>
    <w:rsid w:val="003D3A1E"/>
    <w:rsid w:val="004B71AD"/>
    <w:rsid w:val="004F18AD"/>
    <w:rsid w:val="0056242C"/>
    <w:rsid w:val="005F616D"/>
    <w:rsid w:val="00637172"/>
    <w:rsid w:val="00677116"/>
    <w:rsid w:val="00695EB8"/>
    <w:rsid w:val="006C4594"/>
    <w:rsid w:val="0080537F"/>
    <w:rsid w:val="00843C05"/>
    <w:rsid w:val="00862C0D"/>
    <w:rsid w:val="008F69C0"/>
    <w:rsid w:val="009E4698"/>
    <w:rsid w:val="00A90AE4"/>
    <w:rsid w:val="00AC0F13"/>
    <w:rsid w:val="00B015E1"/>
    <w:rsid w:val="00BA7283"/>
    <w:rsid w:val="00C27E3D"/>
    <w:rsid w:val="00CC001D"/>
    <w:rsid w:val="00E73AE6"/>
    <w:rsid w:val="00EE04DB"/>
    <w:rsid w:val="00F1388A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p302</dc:creator>
  <cp:lastModifiedBy>p302</cp:lastModifiedBy>
  <cp:revision>2</cp:revision>
  <cp:lastPrinted>2023-12-21T09:50:00Z</cp:lastPrinted>
  <dcterms:created xsi:type="dcterms:W3CDTF">2023-12-21T09:58:00Z</dcterms:created>
  <dcterms:modified xsi:type="dcterms:W3CDTF">2023-12-21T09:58:00Z</dcterms:modified>
</cp:coreProperties>
</file>