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17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A009DB">
        <w:trPr>
          <w:trHeight w:val="530"/>
        </w:trPr>
        <w:tc>
          <w:tcPr>
            <w:tcW w:w="1017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>
        <w:trPr>
          <w:trHeight w:val="699"/>
        </w:trPr>
        <w:tc>
          <w:tcPr>
            <w:tcW w:w="10170" w:type="dxa"/>
            <w:vAlign w:val="center"/>
          </w:tcPr>
          <w:p w:rsidR="00E51123" w:rsidRPr="00E51123" w:rsidRDefault="007D26AD" w:rsidP="00E51123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color w:val="000000"/>
                <w:sz w:val="27"/>
                <w:szCs w:val="27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>نتيجة (</w:t>
            </w:r>
            <w:r w:rsidR="006C2644" w:rsidRPr="00A80AC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MIC2 </w:t>
            </w:r>
            <w:r w:rsidR="00A80ACD" w:rsidRPr="00A80ACD">
              <w:rPr>
                <w:rFonts w:ascii="Arial" w:hAnsi="Arial" w:cs="Arial"/>
                <w:bCs/>
                <w:color w:val="323232"/>
                <w:sz w:val="28"/>
                <w:szCs w:val="28"/>
                <w:shd w:val="clear" w:color="auto" w:fill="FFFFFF"/>
              </w:rPr>
              <w:t xml:space="preserve">Service Center </w:t>
            </w:r>
            <w:proofErr w:type="spellStart"/>
            <w:r w:rsidR="00A80ACD" w:rsidRPr="00A80ACD">
              <w:rPr>
                <w:rFonts w:ascii="Arial" w:hAnsi="Arial" w:cs="Arial"/>
                <w:bCs/>
                <w:color w:val="323232"/>
                <w:sz w:val="28"/>
                <w:szCs w:val="28"/>
                <w:shd w:val="clear" w:color="auto" w:fill="FFFFFF"/>
              </w:rPr>
              <w:t>Signages</w:t>
            </w:r>
            <w:proofErr w:type="spellEnd"/>
            <w:r w:rsidR="00A80ACD" w:rsidRPr="00A80ACD">
              <w:rPr>
                <w:rFonts w:ascii="Arial" w:hAnsi="Arial" w:cs="Arial"/>
                <w:bCs/>
                <w:color w:val="323232"/>
                <w:sz w:val="28"/>
                <w:szCs w:val="28"/>
                <w:shd w:val="clear" w:color="auto" w:fill="FFFFFF"/>
              </w:rPr>
              <w:t> RFQ</w:t>
            </w:r>
            <w:r w:rsidR="00A80ACD">
              <w:rPr>
                <w:rFonts w:asciiTheme="majorBidi" w:hAnsiTheme="majorBidi" w:cstheme="majorBidi"/>
                <w:bCs/>
                <w:color w:val="323232"/>
                <w:sz w:val="28"/>
                <w:szCs w:val="28"/>
                <w:shd w:val="clear" w:color="auto" w:fill="FFFFFF"/>
              </w:rPr>
              <w:t xml:space="preserve">  </w:t>
            </w:r>
            <w:r w:rsidRPr="00EC52BB">
              <w:rPr>
                <w:b/>
                <w:sz w:val="28"/>
                <w:szCs w:val="28"/>
                <w:rtl/>
              </w:rPr>
              <w:t>)</w:t>
            </w:r>
            <w:r w:rsidR="00E51123">
              <w:rPr>
                <w:rFonts w:hint="cs"/>
                <w:b/>
                <w:sz w:val="28"/>
                <w:szCs w:val="28"/>
                <w:rtl/>
                <w:lang w:bidi="ar-LB"/>
              </w:rPr>
              <w:t xml:space="preserve">بموجب </w:t>
            </w:r>
            <w:r w:rsidRPr="00EC52BB">
              <w:rPr>
                <w:b/>
                <w:sz w:val="28"/>
                <w:szCs w:val="28"/>
                <w:rtl/>
              </w:rPr>
              <w:t xml:space="preserve"> </w:t>
            </w:r>
            <w:r w:rsidR="00E51123" w:rsidRPr="00AB71E5">
              <w:rPr>
                <w:color w:val="000000"/>
                <w:sz w:val="27"/>
                <w:szCs w:val="27"/>
                <w:rtl/>
              </w:rPr>
              <w:t>قرار (</w:t>
            </w:r>
            <w:r w:rsidR="00E51123" w:rsidRPr="00AB71E5">
              <w:rPr>
                <w:color w:val="000000"/>
                <w:sz w:val="27"/>
                <w:szCs w:val="27"/>
              </w:rPr>
              <w:t>2</w:t>
            </w:r>
            <w:r w:rsidR="00E51123">
              <w:rPr>
                <w:color w:val="000000"/>
                <w:sz w:val="27"/>
                <w:szCs w:val="27"/>
              </w:rPr>
              <w:t>1</w:t>
            </w:r>
            <w:r w:rsidR="00E51123" w:rsidRPr="00AB71E5">
              <w:rPr>
                <w:color w:val="000000"/>
                <w:sz w:val="27"/>
                <w:szCs w:val="27"/>
              </w:rPr>
              <w:t>0</w:t>
            </w:r>
            <w:r w:rsidR="00E51123">
              <w:rPr>
                <w:color w:val="000000"/>
                <w:sz w:val="27"/>
                <w:szCs w:val="27"/>
              </w:rPr>
              <w:t>8</w:t>
            </w:r>
            <w:r w:rsidR="00E51123" w:rsidRPr="00AB71E5">
              <w:rPr>
                <w:color w:val="000000"/>
                <w:sz w:val="27"/>
                <w:szCs w:val="27"/>
              </w:rPr>
              <w:t xml:space="preserve">/1/M dated </w:t>
            </w:r>
            <w:r w:rsidR="00E51123">
              <w:rPr>
                <w:color w:val="000000"/>
                <w:sz w:val="27"/>
                <w:szCs w:val="27"/>
              </w:rPr>
              <w:t>5</w:t>
            </w:r>
            <w:r w:rsidR="00E51123" w:rsidRPr="00AB71E5">
              <w:rPr>
                <w:color w:val="000000"/>
                <w:sz w:val="27"/>
                <w:szCs w:val="27"/>
              </w:rPr>
              <w:t xml:space="preserve"> </w:t>
            </w:r>
            <w:r w:rsidR="00E51123">
              <w:rPr>
                <w:color w:val="000000"/>
                <w:sz w:val="27"/>
                <w:szCs w:val="27"/>
              </w:rPr>
              <w:t>June</w:t>
            </w:r>
            <w:r w:rsidR="00E51123" w:rsidRPr="00AB71E5">
              <w:rPr>
                <w:color w:val="000000"/>
                <w:sz w:val="27"/>
                <w:szCs w:val="27"/>
              </w:rPr>
              <w:t xml:space="preserve"> 2024</w:t>
            </w:r>
            <w:bookmarkStart w:id="0" w:name="_GoBack"/>
            <w:bookmarkEnd w:id="0"/>
          </w:p>
          <w:p w:rsidR="00A009DB" w:rsidRDefault="008314CA" w:rsidP="002D2CD6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314CA">
              <w:rPr>
                <w:sz w:val="28"/>
                <w:szCs w:val="28"/>
                <w:u w:val="single"/>
                <w:rtl/>
              </w:rPr>
              <w:t>المرجع</w:t>
            </w:r>
            <w:r w:rsidR="008B145E" w:rsidRPr="00AB71E5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8B145E" w:rsidRPr="00AB71E5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8B145E" w:rsidRPr="00AB71E5">
              <w:rPr>
                <w:sz w:val="27"/>
                <w:szCs w:val="27"/>
                <w:rtl/>
              </w:rPr>
              <w:t>برقم (</w:t>
            </w:r>
            <w:r w:rsidR="008B145E" w:rsidRPr="00AB71E5">
              <w:rPr>
                <w:sz w:val="27"/>
                <w:szCs w:val="27"/>
              </w:rPr>
              <w:t>2024</w:t>
            </w:r>
            <w:r w:rsidR="008B145E" w:rsidRPr="00AB71E5">
              <w:rPr>
                <w:rFonts w:hint="cs"/>
                <w:sz w:val="27"/>
                <w:szCs w:val="27"/>
                <w:rtl/>
              </w:rPr>
              <w:t>/</w:t>
            </w:r>
            <w:r w:rsidR="008B145E">
              <w:rPr>
                <w:sz w:val="27"/>
                <w:szCs w:val="27"/>
              </w:rPr>
              <w:t>244</w:t>
            </w:r>
            <w:r w:rsidR="008B145E" w:rsidRPr="00AB71E5">
              <w:rPr>
                <w:sz w:val="27"/>
                <w:szCs w:val="27"/>
                <w:rtl/>
              </w:rPr>
              <w:t>) تاريخ (</w:t>
            </w:r>
            <w:r w:rsidR="008B145E">
              <w:rPr>
                <w:sz w:val="27"/>
                <w:szCs w:val="27"/>
              </w:rPr>
              <w:t>7 /3/2024</w:t>
            </w:r>
            <w:r w:rsidR="006C2644" w:rsidRPr="006C2644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009DB">
        <w:trPr>
          <w:trHeight w:val="3487"/>
        </w:trPr>
        <w:tc>
          <w:tcPr>
            <w:tcW w:w="10170" w:type="dxa"/>
          </w:tcPr>
          <w:p w:rsidR="00E51123" w:rsidRDefault="002D2CD6" w:rsidP="00E5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39"/>
              <w:jc w:val="both"/>
              <w:rPr>
                <w:color w:val="000000"/>
                <w:sz w:val="28"/>
                <w:szCs w:val="28"/>
                <w:rtl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E51123" w:rsidRDefault="00E51123" w:rsidP="00E5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39"/>
              <w:jc w:val="both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ا</w:t>
            </w:r>
            <w:r w:rsidR="007D26AD" w:rsidRPr="00896302">
              <w:rPr>
                <w:color w:val="000000"/>
                <w:sz w:val="28"/>
                <w:szCs w:val="28"/>
                <w:rtl/>
              </w:rPr>
              <w:t>جتمعت لجنة التلزيم</w:t>
            </w:r>
            <w:r w:rsidR="00A80ACD">
              <w:rPr>
                <w:color w:val="000000"/>
                <w:sz w:val="28"/>
                <w:szCs w:val="28"/>
              </w:rPr>
              <w:t xml:space="preserve"> </w:t>
            </w:r>
            <w:r w:rsidR="00A80ACD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بتاريخ </w:t>
            </w:r>
            <w:r w:rsidR="00A80ACD" w:rsidRPr="00A80ACD">
              <w:rPr>
                <w:rFonts w:ascii="Arial" w:hAnsi="Arial" w:cs="Arial"/>
                <w:color w:val="000000"/>
                <w:sz w:val="28"/>
                <w:szCs w:val="28"/>
              </w:rPr>
              <w:t>23/4/2024</w:t>
            </w:r>
            <w:r w:rsidR="007D26AD" w:rsidRPr="00A80ACD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A80ACD"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واطلعت على محضر</w:t>
            </w:r>
          </w:p>
          <w:p w:rsidR="00A80ACD" w:rsidRPr="00EC52BB" w:rsidRDefault="00A80ACD" w:rsidP="00E5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 العروض، وتبين أنه تقدم لهذا 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>
              <w:rPr>
                <w:color w:val="000000"/>
                <w:sz w:val="28"/>
                <w:szCs w:val="28"/>
              </w:rPr>
              <w:t>4</w:t>
            </w:r>
            <w:r w:rsidRPr="00EC52BB">
              <w:rPr>
                <w:color w:val="000000"/>
                <w:sz w:val="28"/>
                <w:szCs w:val="28"/>
              </w:rPr>
              <w:t xml:space="preserve"> 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896302" w:rsidRDefault="00896302" w:rsidP="00A80ACD">
            <w:pPr>
              <w:ind w:left="239"/>
            </w:pPr>
          </w:p>
          <w:p w:rsidR="00A009DB" w:rsidRDefault="007D26AD" w:rsidP="00F872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F8726E">
              <w:rPr>
                <w:color w:val="000000"/>
                <w:sz w:val="28"/>
                <w:szCs w:val="28"/>
              </w:rPr>
              <w:t>4</w:t>
            </w:r>
            <w:r w:rsidR="00522556" w:rsidRPr="00824F24">
              <w:rPr>
                <w:color w:val="000000"/>
                <w:sz w:val="28"/>
                <w:szCs w:val="28"/>
              </w:rPr>
              <w:t xml:space="preserve"> 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>
              <w:rPr>
                <w:color w:val="000000"/>
                <w:sz w:val="28"/>
                <w:szCs w:val="28"/>
                <w:rtl/>
              </w:rPr>
              <w:t xml:space="preserve"> وقد تم تحديد العرض الفائز.</w:t>
            </w:r>
          </w:p>
          <w:p w:rsidR="004C3D28" w:rsidRDefault="007D26AD" w:rsidP="006770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>بعد تأكد الجهة الشارية من العرض الفائز عملًا بأحكام الفقرتَين (1 و2) من المادة 24 من قانون الشراء العام، تم ارساء التلزيم مؤقتًا على العارض (</w:t>
            </w:r>
            <w:r w:rsidR="00677049">
              <w:rPr>
                <w:b/>
                <w:color w:val="000000"/>
                <w:sz w:val="28"/>
                <w:szCs w:val="28"/>
              </w:rPr>
              <w:t>Al Fakih Est. for Trading &amp; Industry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)، </w:t>
            </w:r>
            <w:r w:rsidR="004C3D28" w:rsidRPr="004C3D28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="004C3D28" w:rsidRPr="004C3D2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    </w:t>
            </w:r>
            <w:proofErr w:type="spellStart"/>
            <w:r w:rsidR="00677049">
              <w:rPr>
                <w:b/>
                <w:color w:val="000000"/>
                <w:sz w:val="28"/>
                <w:szCs w:val="28"/>
                <w:lang w:bidi="ar-LB"/>
              </w:rPr>
              <w:t>Mcharafieh</w:t>
            </w:r>
            <w:proofErr w:type="spellEnd"/>
            <w:r w:rsidR="00677049">
              <w:rPr>
                <w:b/>
                <w:color w:val="000000"/>
                <w:sz w:val="28"/>
                <w:szCs w:val="28"/>
                <w:lang w:bidi="ar-LB"/>
              </w:rPr>
              <w:t xml:space="preserve"> – </w:t>
            </w:r>
            <w:proofErr w:type="spellStart"/>
            <w:r w:rsidR="00677049">
              <w:rPr>
                <w:b/>
                <w:color w:val="000000"/>
                <w:sz w:val="28"/>
                <w:szCs w:val="28"/>
                <w:lang w:bidi="ar-LB"/>
              </w:rPr>
              <w:t>Hadi</w:t>
            </w:r>
            <w:proofErr w:type="spellEnd"/>
            <w:r w:rsidR="00677049">
              <w:rPr>
                <w:b/>
                <w:color w:val="000000"/>
                <w:sz w:val="28"/>
                <w:szCs w:val="28"/>
                <w:lang w:bidi="ar-LB"/>
              </w:rPr>
              <w:t xml:space="preserve"> Nasrallah place - Beirut</w:t>
            </w:r>
          </w:p>
          <w:p w:rsidR="00A009DB" w:rsidRPr="004C3D28" w:rsidRDefault="004C3D28" w:rsidP="00F872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السعر الإجمالي المقدم منه، </w:t>
            </w:r>
            <w:r w:rsidR="00103A3D" w:rsidRPr="004C3D28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1D41C3">
              <w:rPr>
                <w:b/>
                <w:color w:val="000000"/>
                <w:sz w:val="28"/>
                <w:szCs w:val="28"/>
                <w:rtl/>
              </w:rPr>
              <w:t>يبة على القيمة المضافة، والبالغ</w:t>
            </w:r>
            <w:r w:rsidR="00A80ACD">
              <w:rPr>
                <w:b/>
                <w:color w:val="000000"/>
                <w:sz w:val="28"/>
                <w:szCs w:val="28"/>
              </w:rPr>
              <w:t>24,500</w:t>
            </w:r>
            <w:r w:rsidR="00094A28">
              <w:rPr>
                <w:rFonts w:asciiTheme="majorBidi" w:hAnsiTheme="majorBidi" w:cstheme="majorBidi"/>
                <w:lang w:val="fr-FR"/>
              </w:rPr>
              <w:t xml:space="preserve"> </w:t>
            </w:r>
            <w:r w:rsidR="00094A28" w:rsidRPr="00094A28">
              <w:rPr>
                <w:color w:val="000000"/>
                <w:sz w:val="28"/>
                <w:szCs w:val="28"/>
              </w:rPr>
              <w:t>$</w:t>
            </w:r>
            <w:r w:rsidR="00082168">
              <w:rPr>
                <w:color w:val="000000"/>
                <w:sz w:val="28"/>
                <w:szCs w:val="28"/>
              </w:rPr>
              <w:t>/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/ فقط 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>.</w:t>
            </w:r>
          </w:p>
          <w:p w:rsidR="00A009DB" w:rsidRPr="001A4241" w:rsidRDefault="007D26AD" w:rsidP="009948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A80ACD">
              <w:rPr>
                <w:color w:val="000000"/>
                <w:sz w:val="28"/>
                <w:szCs w:val="28"/>
              </w:rPr>
              <w:t>6 June 2024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99484E">
              <w:rPr>
                <w:color w:val="000000"/>
                <w:sz w:val="28"/>
                <w:szCs w:val="28"/>
              </w:rPr>
              <w:t>19 June 2024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A009DB" w:rsidRDefault="00A009DB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99484E" w:rsidP="009948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A80ACD">
              <w:rPr>
                <w:color w:val="000000"/>
                <w:sz w:val="28"/>
                <w:szCs w:val="28"/>
              </w:rPr>
              <w:t xml:space="preserve"> June 2024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Default="00923C46" w:rsidP="00923C46"/>
    <w:p w:rsidR="00A009DB" w:rsidRDefault="00923C46" w:rsidP="00923C46">
      <w:pPr>
        <w:tabs>
          <w:tab w:val="left" w:pos="3574"/>
        </w:tabs>
      </w:pPr>
      <w:r>
        <w:rPr>
          <w:rtl/>
        </w:rPr>
        <w:tab/>
      </w: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599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319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03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59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47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9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1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3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5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2D6A"/>
    <w:rsid w:val="00065880"/>
    <w:rsid w:val="00071C3F"/>
    <w:rsid w:val="00082168"/>
    <w:rsid w:val="00087593"/>
    <w:rsid w:val="00094A28"/>
    <w:rsid w:val="000B7C73"/>
    <w:rsid w:val="00103A3D"/>
    <w:rsid w:val="00153085"/>
    <w:rsid w:val="001A4241"/>
    <w:rsid w:val="001A78B6"/>
    <w:rsid w:val="001B2D52"/>
    <w:rsid w:val="001D41C3"/>
    <w:rsid w:val="00276E12"/>
    <w:rsid w:val="00277F94"/>
    <w:rsid w:val="002908D3"/>
    <w:rsid w:val="002C69C5"/>
    <w:rsid w:val="002D2CD6"/>
    <w:rsid w:val="002F5482"/>
    <w:rsid w:val="0030289A"/>
    <w:rsid w:val="0038661B"/>
    <w:rsid w:val="003B75DA"/>
    <w:rsid w:val="003D4C1E"/>
    <w:rsid w:val="003E2B2A"/>
    <w:rsid w:val="00400E0D"/>
    <w:rsid w:val="0048290D"/>
    <w:rsid w:val="0048370A"/>
    <w:rsid w:val="004C3D28"/>
    <w:rsid w:val="004D67EA"/>
    <w:rsid w:val="00500A94"/>
    <w:rsid w:val="0052223C"/>
    <w:rsid w:val="00522556"/>
    <w:rsid w:val="005D0015"/>
    <w:rsid w:val="005D2D2D"/>
    <w:rsid w:val="005E4C4C"/>
    <w:rsid w:val="00677049"/>
    <w:rsid w:val="006A6AEE"/>
    <w:rsid w:val="006B0DA6"/>
    <w:rsid w:val="006C2644"/>
    <w:rsid w:val="006D5657"/>
    <w:rsid w:val="007103D9"/>
    <w:rsid w:val="00730A4C"/>
    <w:rsid w:val="007B184E"/>
    <w:rsid w:val="007C3A11"/>
    <w:rsid w:val="007D26AD"/>
    <w:rsid w:val="007F2206"/>
    <w:rsid w:val="00824F24"/>
    <w:rsid w:val="008314CA"/>
    <w:rsid w:val="008655B4"/>
    <w:rsid w:val="00886473"/>
    <w:rsid w:val="00894A65"/>
    <w:rsid w:val="00896302"/>
    <w:rsid w:val="008B145E"/>
    <w:rsid w:val="009043FE"/>
    <w:rsid w:val="00923C46"/>
    <w:rsid w:val="00931650"/>
    <w:rsid w:val="00954B7B"/>
    <w:rsid w:val="00983E55"/>
    <w:rsid w:val="00991E02"/>
    <w:rsid w:val="00994464"/>
    <w:rsid w:val="0099484E"/>
    <w:rsid w:val="009A7536"/>
    <w:rsid w:val="009F6DB9"/>
    <w:rsid w:val="00A009DB"/>
    <w:rsid w:val="00A80ACD"/>
    <w:rsid w:val="00AB4C28"/>
    <w:rsid w:val="00AC1283"/>
    <w:rsid w:val="00AF41F1"/>
    <w:rsid w:val="00B449F3"/>
    <w:rsid w:val="00B87DB1"/>
    <w:rsid w:val="00BA49C6"/>
    <w:rsid w:val="00BB3423"/>
    <w:rsid w:val="00BC7330"/>
    <w:rsid w:val="00BF6185"/>
    <w:rsid w:val="00C55F58"/>
    <w:rsid w:val="00D17F74"/>
    <w:rsid w:val="00D80650"/>
    <w:rsid w:val="00D86DD4"/>
    <w:rsid w:val="00DB777D"/>
    <w:rsid w:val="00E51123"/>
    <w:rsid w:val="00E71F03"/>
    <w:rsid w:val="00E97AF7"/>
    <w:rsid w:val="00EC52BB"/>
    <w:rsid w:val="00EF5959"/>
    <w:rsid w:val="00F3402C"/>
    <w:rsid w:val="00F72438"/>
    <w:rsid w:val="00F8726E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2D52C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6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Rajeh Kharouf</cp:lastModifiedBy>
  <cp:revision>6</cp:revision>
  <cp:lastPrinted>2024-06-06T12:17:00Z</cp:lastPrinted>
  <dcterms:created xsi:type="dcterms:W3CDTF">2024-06-06T11:56:00Z</dcterms:created>
  <dcterms:modified xsi:type="dcterms:W3CDTF">2024-06-06T12:18:00Z</dcterms:modified>
</cp:coreProperties>
</file>