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1C73" w14:textId="77777777"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14:paraId="666F14FE" w14:textId="77777777" w:rsidTr="00CA0197">
        <w:tc>
          <w:tcPr>
            <w:tcW w:w="2886" w:type="dxa"/>
          </w:tcPr>
          <w:p w14:paraId="1602491D" w14:textId="77777777"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70BB8F23" w14:textId="77777777"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4E854809" w14:textId="77777777"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14:paraId="6A297375" w14:textId="77777777"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14:paraId="533F48D0" w14:textId="77777777"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14:paraId="3DD93053" w14:textId="77777777"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14:paraId="7768CE84" w14:textId="77777777" w:rsidTr="0014542B">
        <w:trPr>
          <w:trHeight w:val="699"/>
        </w:trPr>
        <w:tc>
          <w:tcPr>
            <w:tcW w:w="10517" w:type="dxa"/>
            <w:vAlign w:val="center"/>
          </w:tcPr>
          <w:p w14:paraId="501FB50C" w14:textId="21B44C0D"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284EEE">
              <w:rPr>
                <w:rFonts w:hint="cs"/>
                <w:b/>
                <w:sz w:val="28"/>
                <w:szCs w:val="28"/>
                <w:rtl/>
              </w:rPr>
              <w:t>مناقصة عمومية لتلزيم شراء اربعين بطارية لزوم يوبي اس مركز ارسال النعص في الاذاعة اللبنانية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14:paraId="6B715F7A" w14:textId="71B79EE3"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AA4431">
              <w:rPr>
                <w:rFonts w:hint="cs"/>
                <w:sz w:val="28"/>
                <w:szCs w:val="28"/>
                <w:rtl/>
              </w:rPr>
              <w:t>662/2024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AA4431">
              <w:rPr>
                <w:rFonts w:hint="cs"/>
                <w:sz w:val="28"/>
                <w:szCs w:val="28"/>
                <w:rtl/>
              </w:rPr>
              <w:t>11 حزيران 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14:paraId="33454162" w14:textId="77777777" w:rsidTr="0014542B">
        <w:trPr>
          <w:trHeight w:val="3487"/>
        </w:trPr>
        <w:tc>
          <w:tcPr>
            <w:tcW w:w="10517" w:type="dxa"/>
          </w:tcPr>
          <w:p w14:paraId="0AC7A042" w14:textId="1A5CA32C"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1B21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14:paraId="275BB2A9" w14:textId="5EEA996C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13 ايار 2024 الساعة 12.30ظهرا </w:t>
            </w:r>
            <w:r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 xml:space="preserve">وزارة الاعلام </w:t>
            </w:r>
            <w:r w:rsidR="00A325DC">
              <w:rPr>
                <w:color w:val="000000"/>
                <w:sz w:val="28"/>
                <w:szCs w:val="28"/>
                <w:rtl/>
              </w:rPr>
              <w:t>–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 xml:space="preserve"> مديرية الاذاعة اللبنانية رقم 200/2024</w:t>
            </w:r>
            <w:r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14:paraId="03E1B718" w14:textId="0AE3DCCF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/ / (</w:t>
            </w:r>
            <w:r w:rsidR="001B218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>
              <w:rPr>
                <w:color w:val="000000"/>
                <w:sz w:val="28"/>
                <w:szCs w:val="28"/>
                <w:rtl/>
              </w:rPr>
              <w:t>).</w:t>
            </w:r>
          </w:p>
          <w:p w14:paraId="0539C1F4" w14:textId="58AB5F2B"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2486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</w:p>
          <w:p w14:paraId="13D263E4" w14:textId="0AD01329"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824868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وزارة الاعلام </w:t>
            </w:r>
            <w:r w:rsidR="00824868">
              <w:rPr>
                <w:b/>
                <w:color w:val="000000"/>
                <w:sz w:val="28"/>
                <w:szCs w:val="28"/>
                <w:rtl/>
              </w:rPr>
              <w:t>–</w:t>
            </w:r>
            <w:r w:rsidR="00824868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مديرية الاذاعة اللبنانية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C75736"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 والاقتراحات التي لم تفتح الى العارضين، كما تم تحرير الضمانات المقدمة.</w:t>
            </w:r>
          </w:p>
          <w:p w14:paraId="094EE8CA" w14:textId="77777777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02EA28B1" w14:textId="77777777"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14:paraId="4D9D9151" w14:textId="77777777">
        <w:trPr>
          <w:trHeight w:val="87"/>
          <w:jc w:val="right"/>
        </w:trPr>
        <w:tc>
          <w:tcPr>
            <w:tcW w:w="3230" w:type="dxa"/>
          </w:tcPr>
          <w:p w14:paraId="6C27CAD7" w14:textId="7BBF5FF7" w:rsidR="007D3127" w:rsidRPr="008A382F" w:rsidRDefault="004D72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9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9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2024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14:paraId="1FE0DD52" w14:textId="77777777">
        <w:trPr>
          <w:trHeight w:val="25"/>
          <w:jc w:val="right"/>
        </w:trPr>
        <w:tc>
          <w:tcPr>
            <w:tcW w:w="3230" w:type="dxa"/>
          </w:tcPr>
          <w:p w14:paraId="30DCC0E5" w14:textId="33CB9B1D" w:rsidR="007D3127" w:rsidRPr="008A382F" w:rsidRDefault="004D72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مديرية الاذاعة اللبنانية .</w:t>
            </w:r>
          </w:p>
        </w:tc>
      </w:tr>
    </w:tbl>
    <w:p w14:paraId="10975B3F" w14:textId="77777777"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3772">
    <w:abstractNumId w:val="0"/>
  </w:num>
  <w:num w:numId="2" w16cid:durableId="168867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0963EA"/>
    <w:rsid w:val="0014542B"/>
    <w:rsid w:val="001B2188"/>
    <w:rsid w:val="001C58C0"/>
    <w:rsid w:val="002131F9"/>
    <w:rsid w:val="0022705D"/>
    <w:rsid w:val="00284EEE"/>
    <w:rsid w:val="003F2309"/>
    <w:rsid w:val="004D7268"/>
    <w:rsid w:val="007B26FC"/>
    <w:rsid w:val="007D3127"/>
    <w:rsid w:val="00824868"/>
    <w:rsid w:val="008A13C0"/>
    <w:rsid w:val="008A382F"/>
    <w:rsid w:val="0097004A"/>
    <w:rsid w:val="0099316A"/>
    <w:rsid w:val="00A325DC"/>
    <w:rsid w:val="00A62181"/>
    <w:rsid w:val="00AA4431"/>
    <w:rsid w:val="00AB7DE7"/>
    <w:rsid w:val="00C75736"/>
    <w:rsid w:val="00CA0197"/>
    <w:rsid w:val="00D3443F"/>
    <w:rsid w:val="00D37EE1"/>
    <w:rsid w:val="00D61CE5"/>
    <w:rsid w:val="00D61E80"/>
    <w:rsid w:val="00D6791A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73B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2</cp:revision>
  <dcterms:created xsi:type="dcterms:W3CDTF">2024-09-09T08:29:00Z</dcterms:created>
  <dcterms:modified xsi:type="dcterms:W3CDTF">2024-09-09T08:29:00Z</dcterms:modified>
</cp:coreProperties>
</file>