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65458A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5458A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5458A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5458A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5458A" w:rsidRDefault="00951181" w:rsidP="00951181">
                  <w:pPr>
                    <w:tabs>
                      <w:tab w:val="center" w:pos="-2837"/>
                      <w:tab w:val="center" w:pos="-2695"/>
                      <w:tab w:val="left" w:pos="819"/>
                      <w:tab w:val="center" w:pos="1332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5458A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ab/>
                    <w:t>S.A.L</w:t>
                  </w:r>
                  <w:r w:rsidRPr="0065458A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ab/>
                  </w:r>
                  <w:r w:rsidR="006D6493" w:rsidRPr="0065458A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65458A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65458A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65458A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65458A">
        <w:rPr>
          <w:b/>
          <w:bCs/>
          <w:sz w:val="32"/>
          <w:szCs w:val="32"/>
          <w:rtl/>
        </w:rPr>
        <w:t>قرار</w:t>
      </w:r>
      <w:r w:rsidR="00695EB8" w:rsidRPr="0065458A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65458A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65458A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65458A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65458A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65458A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65458A" w:rsidRDefault="0080537F" w:rsidP="0095118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65458A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65458A">
              <w:rPr>
                <w:sz w:val="27"/>
                <w:szCs w:val="27"/>
              </w:rPr>
              <w:t xml:space="preserve">: </w:t>
            </w:r>
            <w:r w:rsidRPr="0065458A">
              <w:rPr>
                <w:b/>
                <w:sz w:val="27"/>
                <w:szCs w:val="27"/>
                <w:rtl/>
              </w:rPr>
              <w:t>نتيجة (</w:t>
            </w:r>
            <w:r w:rsidR="00951181" w:rsidRPr="0065458A">
              <w:rPr>
                <w:b/>
                <w:sz w:val="27"/>
                <w:szCs w:val="27"/>
              </w:rPr>
              <w:t>Power Cables RFQ 2025</w:t>
            </w:r>
            <w:r w:rsidRPr="0065458A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65458A" w:rsidRDefault="0080537F" w:rsidP="00364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5458A">
              <w:rPr>
                <w:color w:val="000000"/>
                <w:sz w:val="27"/>
                <w:szCs w:val="27"/>
                <w:rtl/>
              </w:rPr>
              <w:t>في تمام (</w:t>
            </w:r>
            <w:r w:rsidR="002642E9" w:rsidRPr="0065458A">
              <w:rPr>
                <w:rFonts w:asciiTheme="majorBidi" w:hAnsiTheme="majorBidi" w:cstheme="majorBidi"/>
                <w:sz w:val="27"/>
                <w:szCs w:val="27"/>
              </w:rPr>
              <w:t>Wednesday 19 February</w:t>
            </w:r>
            <w:r w:rsidR="00C314E8" w:rsidRPr="0065458A">
              <w:rPr>
                <w:rFonts w:asciiTheme="majorBidi" w:hAnsiTheme="majorBidi" w:cstheme="majorBidi"/>
                <w:sz w:val="27"/>
                <w:szCs w:val="27"/>
              </w:rPr>
              <w:t>, 202</w:t>
            </w:r>
            <w:r w:rsidR="00B26A5D" w:rsidRPr="0065458A">
              <w:rPr>
                <w:rFonts w:asciiTheme="majorBidi" w:hAnsiTheme="majorBidi" w:cstheme="majorBidi"/>
                <w:sz w:val="27"/>
                <w:szCs w:val="27"/>
              </w:rPr>
              <w:t>5</w:t>
            </w:r>
            <w:r w:rsidR="00F12661" w:rsidRPr="0065458A">
              <w:rPr>
                <w:rFonts w:asciiTheme="majorBidi" w:hAnsiTheme="majorBidi" w:cstheme="majorBidi"/>
                <w:sz w:val="27"/>
                <w:szCs w:val="27"/>
              </w:rPr>
              <w:t xml:space="preserve"> at 1</w:t>
            </w:r>
            <w:r w:rsidR="00C314E8" w:rsidRPr="0065458A">
              <w:rPr>
                <w:rFonts w:asciiTheme="majorBidi" w:hAnsiTheme="majorBidi" w:cstheme="majorBidi"/>
                <w:sz w:val="27"/>
                <w:szCs w:val="27"/>
              </w:rPr>
              <w:t xml:space="preserve">:00 </w:t>
            </w:r>
            <w:r w:rsidR="001B1C4E" w:rsidRPr="0065458A">
              <w:rPr>
                <w:rFonts w:asciiTheme="majorBidi" w:hAnsiTheme="majorBidi" w:cstheme="majorBidi"/>
                <w:sz w:val="27"/>
                <w:szCs w:val="27"/>
              </w:rPr>
              <w:t>PM</w:t>
            </w:r>
            <w:r w:rsidRPr="0065458A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364D68" w:rsidRPr="0065458A">
              <w:rPr>
                <w:color w:val="000000"/>
                <w:sz w:val="27"/>
                <w:szCs w:val="27"/>
              </w:rPr>
              <w:t xml:space="preserve">5261/1/M dated 3 February 2025 </w:t>
            </w:r>
            <w:r w:rsidRPr="0065458A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65458A" w:rsidRDefault="0080537F" w:rsidP="005A7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5458A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5A73A9" w:rsidRPr="0065458A">
              <w:rPr>
                <w:color w:val="000000"/>
                <w:sz w:val="27"/>
                <w:szCs w:val="27"/>
              </w:rPr>
              <w:t>5</w:t>
            </w:r>
            <w:r w:rsidR="00C449C0" w:rsidRPr="0065458A">
              <w:rPr>
                <w:color w:val="000000"/>
                <w:sz w:val="27"/>
                <w:szCs w:val="27"/>
              </w:rPr>
              <w:t xml:space="preserve"> Offers</w:t>
            </w:r>
            <w:r w:rsidRPr="0065458A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65458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65458A" w:rsidRDefault="0080537F" w:rsidP="005A7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5458A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65458A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65458A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65458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5458A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65458A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65458A">
              <w:rPr>
                <w:color w:val="000000"/>
                <w:sz w:val="27"/>
                <w:szCs w:val="27"/>
                <w:rtl/>
              </w:rPr>
              <w:t>تم قبول (</w:t>
            </w:r>
            <w:r w:rsidR="005A73A9" w:rsidRPr="0065458A">
              <w:rPr>
                <w:color w:val="000000"/>
                <w:sz w:val="27"/>
                <w:szCs w:val="27"/>
              </w:rPr>
              <w:t>5</w:t>
            </w:r>
            <w:r w:rsidR="00C449C0" w:rsidRPr="0065458A">
              <w:rPr>
                <w:color w:val="000000"/>
                <w:sz w:val="27"/>
                <w:szCs w:val="27"/>
              </w:rPr>
              <w:t xml:space="preserve"> Offers</w:t>
            </w:r>
            <w:r w:rsidRPr="0065458A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65458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65458A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65458A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65458A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65458A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65458A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65458A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65458A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65458A">
              <w:rPr>
                <w:color w:val="000000"/>
                <w:sz w:val="27"/>
                <w:szCs w:val="27"/>
                <w:rtl/>
              </w:rPr>
              <w:t>؛</w:t>
            </w:r>
          </w:p>
          <w:p w:rsidR="001E575E" w:rsidRPr="0065458A" w:rsidRDefault="00BA7283" w:rsidP="00EB3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65458A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65458A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65458A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65458A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65458A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65458A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65458A">
              <w:rPr>
                <w:b/>
                <w:sz w:val="27"/>
                <w:szCs w:val="27"/>
                <w:rtl/>
              </w:rPr>
              <w:t>ة</w:t>
            </w:r>
            <w:r w:rsidRPr="0065458A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65458A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65458A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65458A">
              <w:rPr>
                <w:b/>
                <w:color w:val="000000"/>
                <w:sz w:val="27"/>
                <w:szCs w:val="27"/>
                <w:rtl/>
              </w:rPr>
              <w:t xml:space="preserve">العارض </w:t>
            </w:r>
            <w:r w:rsidR="00AB0D75" w:rsidRPr="0065458A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  <w:t>(</w:t>
            </w:r>
            <w:r w:rsidR="005A73A9" w:rsidRPr="0065458A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GTC Trading DWC LLC</w:t>
            </w:r>
            <w:r w:rsidR="00AB0D75" w:rsidRPr="0065458A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  <w:t>)</w:t>
            </w:r>
            <w:r w:rsidR="00AB0D75" w:rsidRPr="0065458A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AB0D75" w:rsidRPr="0065458A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="00AB0D75" w:rsidRPr="0065458A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="00AB0D75" w:rsidRPr="0065458A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AB0D75" w:rsidRPr="0065458A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  <w:rtl/>
              </w:rPr>
              <w:t xml:space="preserve">شارع </w:t>
            </w:r>
            <w:r w:rsidR="00AD1F95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( Dubai World Central, Office 24, level 4, Bldg. A2, Business Park, Dubai, UAE)</w:t>
            </w:r>
            <w:r w:rsidR="00AB0D75" w:rsidRPr="0065458A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="00AB0D75" w:rsidRPr="0065458A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B0D75" w:rsidRPr="0065458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65458A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65458A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65458A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BF28C6" w:rsidRPr="0065458A">
              <w:rPr>
                <w:b/>
                <w:bCs/>
                <w:color w:val="000000"/>
                <w:sz w:val="27"/>
                <w:szCs w:val="27"/>
              </w:rPr>
              <w:t>49,860.00</w:t>
            </w:r>
            <w:r w:rsidR="0080537F" w:rsidRPr="0065458A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65458A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AC0F13" w:rsidRPr="0065458A" w:rsidRDefault="0080537F" w:rsidP="0065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5458A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65458A" w:rsidRPr="0065458A">
              <w:rPr>
                <w:color w:val="000000"/>
                <w:sz w:val="27"/>
                <w:szCs w:val="27"/>
              </w:rPr>
              <w:t>9 April 2025</w:t>
            </w:r>
            <w:r w:rsidRPr="0065458A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65458A" w:rsidRPr="0065458A">
              <w:rPr>
                <w:color w:val="000000"/>
                <w:sz w:val="27"/>
                <w:szCs w:val="27"/>
              </w:rPr>
              <w:t xml:space="preserve">24 April 2025 </w:t>
            </w:r>
            <w:r w:rsidRPr="0065458A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65458A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65458A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5458A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</w:t>
            </w:r>
            <w:bookmarkStart w:id="0" w:name="_GoBack"/>
            <w:bookmarkEnd w:id="0"/>
            <w:r w:rsidRPr="0065458A">
              <w:rPr>
                <w:color w:val="000000"/>
                <w:sz w:val="27"/>
                <w:szCs w:val="27"/>
                <w:rtl/>
              </w:rPr>
              <w:t>ركزية لدى هيئة الشراء العام.</w:t>
            </w:r>
          </w:p>
          <w:p w:rsidR="00AC0F13" w:rsidRPr="0065458A" w:rsidRDefault="0065458A" w:rsidP="00B26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5458A">
              <w:rPr>
                <w:b/>
                <w:bCs/>
                <w:color w:val="000000"/>
                <w:sz w:val="27"/>
                <w:szCs w:val="27"/>
              </w:rPr>
              <w:t>8 April 2025</w:t>
            </w:r>
          </w:p>
          <w:p w:rsidR="00695EB8" w:rsidRPr="0065458A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5458A">
              <w:rPr>
                <w:color w:val="000000"/>
                <w:sz w:val="28"/>
                <w:szCs w:val="28"/>
              </w:rPr>
              <w:t>Salem Itani</w:t>
            </w:r>
            <w:r w:rsidR="00904CDA" w:rsidRPr="0065458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65458A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832368"/>
    <w:multiLevelType w:val="hybridMultilevel"/>
    <w:tmpl w:val="29E468E4"/>
    <w:lvl w:ilvl="0" w:tplc="04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642E9"/>
    <w:rsid w:val="002914A1"/>
    <w:rsid w:val="002943B6"/>
    <w:rsid w:val="002B0C7D"/>
    <w:rsid w:val="002B786D"/>
    <w:rsid w:val="002E5658"/>
    <w:rsid w:val="00364B60"/>
    <w:rsid w:val="00364D68"/>
    <w:rsid w:val="003D3A1E"/>
    <w:rsid w:val="004602BD"/>
    <w:rsid w:val="004A2059"/>
    <w:rsid w:val="004B71AD"/>
    <w:rsid w:val="0056552F"/>
    <w:rsid w:val="00571068"/>
    <w:rsid w:val="005A73A9"/>
    <w:rsid w:val="005F616D"/>
    <w:rsid w:val="00637172"/>
    <w:rsid w:val="0065458A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51181"/>
    <w:rsid w:val="009A5A91"/>
    <w:rsid w:val="009B75B3"/>
    <w:rsid w:val="009C7E8A"/>
    <w:rsid w:val="009F4894"/>
    <w:rsid w:val="00A61B56"/>
    <w:rsid w:val="00AB0D75"/>
    <w:rsid w:val="00AC0F13"/>
    <w:rsid w:val="00AD1F95"/>
    <w:rsid w:val="00B26A5D"/>
    <w:rsid w:val="00B40014"/>
    <w:rsid w:val="00BA7283"/>
    <w:rsid w:val="00BF28C6"/>
    <w:rsid w:val="00C27E3D"/>
    <w:rsid w:val="00C314E8"/>
    <w:rsid w:val="00C319E2"/>
    <w:rsid w:val="00C449C0"/>
    <w:rsid w:val="00CA3C2A"/>
    <w:rsid w:val="00CC001D"/>
    <w:rsid w:val="00D71AC8"/>
    <w:rsid w:val="00E55667"/>
    <w:rsid w:val="00EB3159"/>
    <w:rsid w:val="00F12661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DE716C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2</cp:revision>
  <dcterms:created xsi:type="dcterms:W3CDTF">2025-04-08T10:33:00Z</dcterms:created>
  <dcterms:modified xsi:type="dcterms:W3CDTF">2025-04-08T10:33:00Z</dcterms:modified>
</cp:coreProperties>
</file>