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B4D1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B4D1D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B4D1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B4D1D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B4D1D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B4D1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B4D1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B4D1D" w:rsidRDefault="004442AB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1090</w:t>
            </w:r>
            <w:r w:rsidR="00C00FDE"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EB4D1D">
        <w:tc>
          <w:tcPr>
            <w:tcW w:w="2283" w:type="dxa"/>
            <w:shd w:val="clear" w:color="auto" w:fill="auto"/>
            <w:vAlign w:val="center"/>
          </w:tcPr>
          <w:p w:rsidR="00DD04AE" w:rsidRPr="00EB4D1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B4D1D" w:rsidRDefault="001A2771" w:rsidP="004442AB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4442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EB4D1D"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March</w:t>
            </w: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EB4D1D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B4D1D">
        <w:tc>
          <w:tcPr>
            <w:tcW w:w="2283" w:type="dxa"/>
            <w:shd w:val="clear" w:color="auto" w:fill="auto"/>
            <w:vAlign w:val="center"/>
          </w:tcPr>
          <w:p w:rsidR="00DD04AE" w:rsidRPr="00EB4D1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B4D1D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EB4D1D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B4D1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B4D1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B4D1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B4D1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B4D1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B4D1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B4D1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EB4D1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B4D1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B4D1D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B4D1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EB4D1D">
        <w:tc>
          <w:tcPr>
            <w:tcW w:w="2283" w:type="dxa"/>
            <w:shd w:val="clear" w:color="auto" w:fill="auto"/>
            <w:vAlign w:val="center"/>
          </w:tcPr>
          <w:p w:rsidR="00DD04AE" w:rsidRPr="00EB4D1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B4D1D" w:rsidRDefault="004442AB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Ittihad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for Engineering and Contracting CO. S.A.R.L  </w:t>
            </w:r>
          </w:p>
        </w:tc>
      </w:tr>
      <w:tr w:rsidR="00DD04AE" w:rsidRPr="00EB4D1D">
        <w:tc>
          <w:tcPr>
            <w:tcW w:w="2283" w:type="dxa"/>
            <w:shd w:val="clear" w:color="auto" w:fill="auto"/>
            <w:vAlign w:val="center"/>
          </w:tcPr>
          <w:p w:rsidR="00DD04AE" w:rsidRPr="00EB4D1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B4D1D" w:rsidRDefault="001A2771" w:rsidP="004442AB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4442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4442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EB4D1D"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B4D1D" w:rsidRDefault="00D2533F" w:rsidP="009622FA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9622F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Pr="00EB4D1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9622FA" w:rsidRDefault="0047442A" w:rsidP="009622FA">
            <w:pPr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EB4D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="009622FA" w:rsidRP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 stipulated in PPL no. 244/2021, article 46, sub clause 3, </w:t>
            </w:r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MIC2 is in need for additional </w:t>
            </w:r>
            <w:r w:rsidR="009622FA" w:rsidRP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construction works to accommodate the necessary changes in material and l</w:t>
            </w:r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abor costs during the contract </w:t>
            </w:r>
            <w:r w:rsidR="009622FA" w:rsidRP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validity period</w:t>
            </w:r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for hidden and unexpected work: the ceiling</w:t>
            </w:r>
            <w:r w:rsidR="009622FA">
              <w:rPr>
                <w:rFonts w:asciiTheme="majorBidi" w:hAnsiTheme="majorBidi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="009622FA" w:rsidRP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is constructed with asbestos, a ha</w:t>
            </w:r>
            <w:r w:rsid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zardous material known to pose </w:t>
            </w:r>
            <w:r w:rsidR="009622FA" w:rsidRP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significant health risks, including respiratory diseases, lung cancer, and asbestosis. </w:t>
            </w:r>
            <w:r w:rsid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Prolonged exposure to </w:t>
            </w:r>
            <w:r w:rsidR="009622FA" w:rsidRP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asbestos fibers, especially in environments where the material is distur</w:t>
            </w:r>
            <w:r w:rsid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bed, can lead to severe health </w:t>
            </w:r>
            <w:r w:rsidR="009622FA" w:rsidRP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complications for workers.</w:t>
            </w:r>
            <w:r w:rsid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 For reference</w:t>
            </w:r>
            <w:r w:rsidR="00955B60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,</w:t>
            </w:r>
            <w:r w:rsidR="009622FA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 </w:t>
            </w:r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Ittihad</w:t>
            </w:r>
            <w:proofErr w:type="spellEnd"/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for Engineering and Contracting CO. S.A.R.L</w:t>
            </w:r>
            <w:r w:rsidR="009622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was awarded </w:t>
            </w:r>
            <w:r w:rsid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lately the </w:t>
            </w:r>
            <w:proofErr w:type="spellStart"/>
            <w:r w:rsid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Dekwaneh</w:t>
            </w:r>
            <w:proofErr w:type="spellEnd"/>
            <w:r w:rsid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Warehouse Renovation Tender published on PPA under reference 223/2024.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955B60" w:rsidRDefault="00955B60" w:rsidP="00955B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Replacement of Roofing Asbes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tos Sheets at MIC2 Warehouse</w:t>
            </w:r>
            <w:r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 located in </w:t>
            </w:r>
            <w:proofErr w:type="spellStart"/>
            <w:r w:rsidRP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Dekwaneh</w:t>
            </w:r>
            <w:proofErr w:type="spellEnd"/>
            <w:r w:rsidRP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MPT</w:t>
            </w:r>
          </w:p>
        </w:tc>
      </w:tr>
    </w:tbl>
    <w:p w:rsidR="00DD04AE" w:rsidRPr="00663624" w:rsidRDefault="00D2533F" w:rsidP="00955B60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955B60">
        <w:rPr>
          <w:rFonts w:asciiTheme="majorBidi" w:hAnsiTheme="majorBidi" w:cstheme="majorBidi"/>
          <w:color w:val="000000"/>
          <w:sz w:val="24"/>
          <w:szCs w:val="24"/>
        </w:rPr>
        <w:t xml:space="preserve">Al </w:t>
      </w:r>
      <w:proofErr w:type="spellStart"/>
      <w:r w:rsidR="00955B60">
        <w:rPr>
          <w:rFonts w:asciiTheme="majorBidi" w:hAnsiTheme="majorBidi" w:cstheme="majorBidi"/>
          <w:color w:val="000000"/>
          <w:sz w:val="24"/>
          <w:szCs w:val="24"/>
        </w:rPr>
        <w:t>Ittihad</w:t>
      </w:r>
      <w:proofErr w:type="spellEnd"/>
      <w:r w:rsidR="00955B60">
        <w:rPr>
          <w:rFonts w:asciiTheme="majorBidi" w:hAnsiTheme="majorBidi" w:cstheme="majorBidi"/>
          <w:color w:val="000000"/>
          <w:sz w:val="24"/>
          <w:szCs w:val="24"/>
        </w:rPr>
        <w:t xml:space="preserve"> for Engineering and Contracting CO. S.A.R.L</w:t>
      </w:r>
      <w:r w:rsidR="00EB4D1D">
        <w:rPr>
          <w:rFonts w:asciiTheme="majorBidi" w:hAnsiTheme="majorBidi" w:cstheme="majorBidi" w:hint="cs"/>
          <w:color w:val="000000"/>
          <w:sz w:val="24"/>
          <w:szCs w:val="24"/>
          <w:rtl/>
          <w:lang w:bidi="ar-LB"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955B60" w:rsidRPr="00955B60">
        <w:rPr>
          <w:rFonts w:asciiTheme="majorBidi" w:hAnsiTheme="majorBidi" w:cstheme="majorBidi"/>
          <w:color w:val="000000"/>
          <w:sz w:val="24"/>
          <w:szCs w:val="24"/>
        </w:rPr>
        <w:t>Replacement of Roofing Asbes</w:t>
      </w:r>
      <w:r w:rsidR="00955B60">
        <w:rPr>
          <w:rFonts w:asciiTheme="majorBidi" w:hAnsiTheme="majorBidi" w:cstheme="majorBidi"/>
          <w:color w:val="000000"/>
          <w:sz w:val="24"/>
          <w:szCs w:val="24"/>
        </w:rPr>
        <w:t>tos Sheets at MIC2 Warehouse</w:t>
      </w:r>
      <w:r w:rsidR="00955B60">
        <w:rPr>
          <w:rFonts w:asciiTheme="majorBidi" w:hAnsiTheme="majorBidi" w:cs="Times New Roman"/>
          <w:color w:val="000000"/>
          <w:sz w:val="24"/>
          <w:szCs w:val="24"/>
        </w:rPr>
        <w:t xml:space="preserve"> located in </w:t>
      </w:r>
      <w:proofErr w:type="spellStart"/>
      <w:r w:rsidR="00955B60" w:rsidRPr="00955B60">
        <w:rPr>
          <w:rFonts w:asciiTheme="majorBidi" w:hAnsiTheme="majorBidi" w:cstheme="majorBidi"/>
          <w:color w:val="000000"/>
          <w:sz w:val="24"/>
          <w:szCs w:val="24"/>
        </w:rPr>
        <w:t>Dekwaneh</w:t>
      </w:r>
      <w:proofErr w:type="spellEnd"/>
      <w:r w:rsidR="00955B60" w:rsidRPr="00955B60">
        <w:rPr>
          <w:rFonts w:asciiTheme="majorBidi" w:hAnsiTheme="majorBidi" w:cstheme="majorBidi"/>
          <w:color w:val="000000"/>
          <w:sz w:val="24"/>
          <w:szCs w:val="24"/>
        </w:rPr>
        <w:t xml:space="preserve"> MPT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 w:rsidP="00955B60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 w:rsidRPr="00271C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955B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271C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71CEE" w:rsidRPr="00271C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March</w:t>
            </w:r>
            <w:r w:rsidRPr="00271C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271C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 w:rsidP="00955B60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bookmarkStart w:id="4" w:name="_GoBack"/>
      <w:bookmarkEnd w:id="4"/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rFonts w:cs="Times New Roman"/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1CEE"/>
    <w:rsid w:val="0027493D"/>
    <w:rsid w:val="003003F9"/>
    <w:rsid w:val="0036139C"/>
    <w:rsid w:val="00375E77"/>
    <w:rsid w:val="004427CF"/>
    <w:rsid w:val="004442AB"/>
    <w:rsid w:val="0047442A"/>
    <w:rsid w:val="00514A15"/>
    <w:rsid w:val="00553902"/>
    <w:rsid w:val="00583542"/>
    <w:rsid w:val="00663624"/>
    <w:rsid w:val="006646FB"/>
    <w:rsid w:val="007813E5"/>
    <w:rsid w:val="00797BC1"/>
    <w:rsid w:val="008B21AA"/>
    <w:rsid w:val="00934306"/>
    <w:rsid w:val="00955B60"/>
    <w:rsid w:val="009622FA"/>
    <w:rsid w:val="00C00FDE"/>
    <w:rsid w:val="00C03181"/>
    <w:rsid w:val="00C13ADA"/>
    <w:rsid w:val="00D2533F"/>
    <w:rsid w:val="00D90CE6"/>
    <w:rsid w:val="00DC37CB"/>
    <w:rsid w:val="00DD04AE"/>
    <w:rsid w:val="00EB4D1D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69AD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2025-03-17T11:28:00Z</dcterms:created>
  <dcterms:modified xsi:type="dcterms:W3CDTF">2025-03-17T11:56:00Z</dcterms:modified>
</cp:coreProperties>
</file>