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2134B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952D64" w:rsidRPr="00952D64">
              <w:rPr>
                <w:rFonts w:ascii="Arial" w:hAnsi="Arial" w:cs="Arial"/>
                <w:b/>
                <w:bCs/>
                <w:sz w:val="28"/>
                <w:szCs w:val="28"/>
              </w:rPr>
              <w:t>Security and Guarding Services for Touch Premises and Core Sites</w:t>
            </w:r>
            <w:r w:rsidR="00952D64">
              <w:rPr>
                <w:rFonts w:ascii="Arial" w:hAnsi="Arial" w:cs="Arial"/>
                <w:b/>
                <w:bCs/>
              </w:rPr>
              <w:t xml:space="preserve"> </w:t>
            </w:r>
            <w:r w:rsidR="002134B3" w:rsidRPr="002134B3">
              <w:rPr>
                <w:rFonts w:ascii="Arial" w:hAnsi="Arial" w:cs="Arial"/>
                <w:b/>
                <w:bCs/>
                <w:sz w:val="28"/>
                <w:szCs w:val="28"/>
              </w:rPr>
              <w:t>- RFP Winner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) </w:t>
            </w:r>
          </w:p>
          <w:p w:rsidR="00A009DB" w:rsidRDefault="007D26AD" w:rsidP="00F0373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A87D4A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1770/2023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693515">
              <w:rPr>
                <w:color w:val="000000"/>
                <w:sz w:val="28"/>
                <w:szCs w:val="28"/>
              </w:rPr>
              <w:t>24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693515">
              <w:rPr>
                <w:color w:val="000000"/>
                <w:sz w:val="28"/>
                <w:szCs w:val="28"/>
              </w:rPr>
              <w:t>0459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693515">
              <w:rPr>
                <w:color w:val="000000"/>
                <w:sz w:val="28"/>
                <w:szCs w:val="28"/>
              </w:rPr>
              <w:t>22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693515">
              <w:rPr>
                <w:color w:val="000000"/>
                <w:sz w:val="28"/>
                <w:szCs w:val="28"/>
              </w:rPr>
              <w:t>April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693515">
              <w:rPr>
                <w:color w:val="000000"/>
                <w:sz w:val="28"/>
                <w:szCs w:val="28"/>
              </w:rPr>
              <w:t>2024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AC24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AC246D">
              <w:rPr>
                <w:color w:val="000000"/>
                <w:sz w:val="28"/>
                <w:szCs w:val="28"/>
              </w:rPr>
              <w:t>4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3D1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rFonts w:hint="cs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693515">
              <w:rPr>
                <w:color w:val="000000"/>
                <w:sz w:val="28"/>
                <w:szCs w:val="28"/>
              </w:rPr>
              <w:t>3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وإستبعد عرض واحد لعدم اهليته </w:t>
            </w:r>
            <w:r w:rsidR="003D1952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، وإستحالته تخطي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3D1952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الشروط التقنية.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5614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122A3E">
              <w:rPr>
                <w:b/>
                <w:color w:val="000000"/>
                <w:sz w:val="28"/>
                <w:szCs w:val="28"/>
              </w:rPr>
              <w:t>Metropolitan Security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proofErr w:type="spellStart"/>
            <w:r w:rsidR="0056146F" w:rsidRPr="0056146F">
              <w:rPr>
                <w:color w:val="000000"/>
                <w:sz w:val="28"/>
                <w:szCs w:val="28"/>
              </w:rPr>
              <w:t>Makdissi</w:t>
            </w:r>
            <w:proofErr w:type="spellEnd"/>
            <w:r w:rsidR="0056146F" w:rsidRPr="005614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146F" w:rsidRPr="0056146F">
              <w:rPr>
                <w:color w:val="000000"/>
                <w:sz w:val="28"/>
                <w:szCs w:val="28"/>
              </w:rPr>
              <w:t>st</w:t>
            </w:r>
            <w:proofErr w:type="spellEnd"/>
            <w:r w:rsidR="0056146F" w:rsidRPr="0056146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6146F" w:rsidRPr="0056146F">
              <w:rPr>
                <w:color w:val="000000"/>
                <w:sz w:val="28"/>
                <w:szCs w:val="28"/>
              </w:rPr>
              <w:t>Hamra</w:t>
            </w:r>
            <w:proofErr w:type="spellEnd"/>
            <w:r w:rsidR="0056146F" w:rsidRPr="0056146F">
              <w:rPr>
                <w:color w:val="000000"/>
                <w:sz w:val="28"/>
                <w:szCs w:val="28"/>
              </w:rPr>
              <w:t>, </w:t>
            </w:r>
            <w:hyperlink r:id="rId6" w:tooltip="Companies in Beirut" w:history="1">
              <w:r w:rsidR="0056146F" w:rsidRPr="0056146F">
                <w:rPr>
                  <w:color w:val="000000"/>
                  <w:sz w:val="28"/>
                  <w:szCs w:val="28"/>
                </w:rPr>
                <w:t>Beirut</w:t>
              </w:r>
            </w:hyperlink>
            <w:r w:rsidR="0056146F" w:rsidRPr="0056146F">
              <w:rPr>
                <w:color w:val="000000"/>
                <w:sz w:val="28"/>
                <w:szCs w:val="28"/>
              </w:rPr>
              <w:t>,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E3EC1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الإفرادي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 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per month</w:t>
                  </w:r>
                </w:p>
              </w:tc>
            </w:tr>
            <w:tr w:rsidR="00DD6E0D" w:rsidRPr="00DD2073" w:rsidTr="00FC0D79">
              <w:trPr>
                <w:trHeight w:val="452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DD6E0D" w:rsidP="00693515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G4S 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693515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693515">
                    <w:rPr>
                      <w:color w:val="000000"/>
                      <w:sz w:val="28"/>
                      <w:szCs w:val="28"/>
                    </w:rPr>
                    <w:t>47</w:t>
                  </w:r>
                  <w:r w:rsidRPr="00FC0D7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693515">
                    <w:rPr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693515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>Middle East Security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693515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693515">
                    <w:rPr>
                      <w:color w:val="000000"/>
                      <w:sz w:val="28"/>
                      <w:szCs w:val="28"/>
                    </w:rPr>
                    <w:t>27</w:t>
                  </w:r>
                  <w:r w:rsidRPr="00FC0D7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693515">
                    <w:rPr>
                      <w:color w:val="000000"/>
                      <w:sz w:val="28"/>
                      <w:szCs w:val="28"/>
                    </w:rPr>
                    <w:t>895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DD6E0D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>Metropolitan Security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693515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693515">
                    <w:rPr>
                      <w:color w:val="000000"/>
                      <w:sz w:val="28"/>
                      <w:szCs w:val="28"/>
                    </w:rPr>
                    <w:t>23,330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B345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10</w:t>
            </w:r>
            <w:r w:rsidR="0072133D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B345D6">
              <w:rPr>
                <w:color w:val="000000"/>
                <w:sz w:val="28"/>
                <w:szCs w:val="28"/>
              </w:rPr>
              <w:t>25</w:t>
            </w:r>
            <w:r w:rsidR="00EF5959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B345D6" w:rsidP="00B345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June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2024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  <w:bookmarkStart w:id="0" w:name="_GoBack"/>
      <w:bookmarkEnd w:id="0"/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0922"/>
    <w:rsid w:val="00082168"/>
    <w:rsid w:val="00087593"/>
    <w:rsid w:val="00094A28"/>
    <w:rsid w:val="000B7C73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76E12"/>
    <w:rsid w:val="00277F94"/>
    <w:rsid w:val="002908D3"/>
    <w:rsid w:val="002C69C5"/>
    <w:rsid w:val="002F5482"/>
    <w:rsid w:val="0030289A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53447"/>
    <w:rsid w:val="0056146F"/>
    <w:rsid w:val="00562E44"/>
    <w:rsid w:val="00571706"/>
    <w:rsid w:val="00587BB4"/>
    <w:rsid w:val="005D0015"/>
    <w:rsid w:val="005D2D2D"/>
    <w:rsid w:val="005E0B4F"/>
    <w:rsid w:val="005E4C4C"/>
    <w:rsid w:val="006671B9"/>
    <w:rsid w:val="00693515"/>
    <w:rsid w:val="006A6AEE"/>
    <w:rsid w:val="006B0DA6"/>
    <w:rsid w:val="006D5657"/>
    <w:rsid w:val="007103D9"/>
    <w:rsid w:val="0072133D"/>
    <w:rsid w:val="00770510"/>
    <w:rsid w:val="00792AE5"/>
    <w:rsid w:val="00797F51"/>
    <w:rsid w:val="007B184E"/>
    <w:rsid w:val="007C3A11"/>
    <w:rsid w:val="007D26AD"/>
    <w:rsid w:val="007F2206"/>
    <w:rsid w:val="007F42EB"/>
    <w:rsid w:val="00824F24"/>
    <w:rsid w:val="008655B4"/>
    <w:rsid w:val="00886473"/>
    <w:rsid w:val="00894A65"/>
    <w:rsid w:val="009043FE"/>
    <w:rsid w:val="00906E48"/>
    <w:rsid w:val="0091586C"/>
    <w:rsid w:val="00923C46"/>
    <w:rsid w:val="00930053"/>
    <w:rsid w:val="00931650"/>
    <w:rsid w:val="00952D64"/>
    <w:rsid w:val="00954B7B"/>
    <w:rsid w:val="00983E55"/>
    <w:rsid w:val="00991E02"/>
    <w:rsid w:val="00994464"/>
    <w:rsid w:val="009A7536"/>
    <w:rsid w:val="009F209E"/>
    <w:rsid w:val="009F6DB9"/>
    <w:rsid w:val="00A009DB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345D6"/>
    <w:rsid w:val="00B449F3"/>
    <w:rsid w:val="00B87DB1"/>
    <w:rsid w:val="00BA49C6"/>
    <w:rsid w:val="00BB3423"/>
    <w:rsid w:val="00BC22A7"/>
    <w:rsid w:val="00BC7330"/>
    <w:rsid w:val="00BF6185"/>
    <w:rsid w:val="00C40905"/>
    <w:rsid w:val="00C55F58"/>
    <w:rsid w:val="00CE3EC1"/>
    <w:rsid w:val="00D17F74"/>
    <w:rsid w:val="00D80650"/>
    <w:rsid w:val="00D820FD"/>
    <w:rsid w:val="00D86DD4"/>
    <w:rsid w:val="00DB777D"/>
    <w:rsid w:val="00DD0AF3"/>
    <w:rsid w:val="00DD6E0D"/>
    <w:rsid w:val="00DF065C"/>
    <w:rsid w:val="00E4501A"/>
    <w:rsid w:val="00E71F03"/>
    <w:rsid w:val="00E86A39"/>
    <w:rsid w:val="00E97AF7"/>
    <w:rsid w:val="00EC52BB"/>
    <w:rsid w:val="00EF5959"/>
    <w:rsid w:val="00F0373A"/>
    <w:rsid w:val="00F270FA"/>
    <w:rsid w:val="00F3402C"/>
    <w:rsid w:val="00F571A1"/>
    <w:rsid w:val="00F72438"/>
    <w:rsid w:val="00F870F2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elleb.com/location/Beir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22</cp:revision>
  <cp:lastPrinted>2023-05-30T10:37:00Z</cp:lastPrinted>
  <dcterms:created xsi:type="dcterms:W3CDTF">2023-10-27T22:29:00Z</dcterms:created>
  <dcterms:modified xsi:type="dcterms:W3CDTF">2024-06-10T08:48:00Z</dcterms:modified>
</cp:coreProperties>
</file>