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F1518A5" w14:textId="123FDA97" w:rsidR="00B235FD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470B189B" w:rsidR="00B235FD" w:rsidRPr="0016648E" w:rsidRDefault="00E67F96" w:rsidP="00B7018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E67F96">
              <w:rPr>
                <w:color w:val="000000"/>
                <w:sz w:val="24"/>
                <w:szCs w:val="24"/>
              </w:rPr>
              <w:t>SIM packing RFQ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65183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5183C">
              <w:rPr>
                <w:color w:val="000000"/>
                <w:sz w:val="24"/>
                <w:szCs w:val="24"/>
              </w:rPr>
              <w:t>Comp</w:t>
            </w:r>
            <w:r w:rsidR="00B70184">
              <w:rPr>
                <w:color w:val="000000"/>
                <w:sz w:val="24"/>
                <w:szCs w:val="24"/>
              </w:rPr>
              <w:t>roc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1469</w:t>
            </w:r>
          </w:p>
        </w:tc>
      </w:tr>
      <w:tr w:rsidR="00B235FD" w14:paraId="19C0E970" w14:textId="77777777" w:rsidTr="005D3E76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9C6C6AF" w14:textId="45D41DB8" w:rsidR="00B235FD" w:rsidRPr="0016648E" w:rsidRDefault="00E67F96" w:rsidP="00E67F9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67F96">
              <w:rPr>
                <w:color w:val="000000"/>
                <w:sz w:val="24"/>
                <w:szCs w:val="24"/>
              </w:rPr>
              <w:t>SIM packing RFQ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5B349BB1" w:rsidR="00B235FD" w:rsidRPr="009329E0" w:rsidRDefault="009329E0" w:rsidP="00E67F9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329E0">
              <w:rPr>
                <w:sz w:val="24"/>
                <w:szCs w:val="24"/>
              </w:rPr>
              <w:t>Purchase</w:t>
            </w:r>
            <w:r w:rsidR="00B07DA1">
              <w:rPr>
                <w:sz w:val="24"/>
                <w:szCs w:val="24"/>
              </w:rPr>
              <w:t xml:space="preserve"> of</w:t>
            </w:r>
            <w:r w:rsidRPr="009329E0">
              <w:rPr>
                <w:sz w:val="24"/>
                <w:szCs w:val="24"/>
              </w:rPr>
              <w:t xml:space="preserve"> </w:t>
            </w:r>
            <w:r w:rsidR="00B70184">
              <w:rPr>
                <w:rFonts w:ascii="Arial" w:hAnsi="Arial" w:cs="Arial"/>
                <w:color w:val="000000"/>
              </w:rPr>
              <w:t xml:space="preserve">500,000 </w:t>
            </w:r>
            <w:r w:rsidR="00B70184">
              <w:rPr>
                <w:rFonts w:ascii="Arial" w:hAnsi="Arial" w:cs="Arial"/>
                <w:color w:val="000000"/>
              </w:rPr>
              <w:t xml:space="preserve">sim </w:t>
            </w:r>
            <w:r w:rsidR="00E67F96" w:rsidRPr="00E67F96">
              <w:rPr>
                <w:color w:val="000000"/>
                <w:sz w:val="24"/>
                <w:szCs w:val="24"/>
              </w:rPr>
              <w:t>packing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15AEF497" w:rsidR="00B235FD" w:rsidRPr="0016648E" w:rsidRDefault="00DB1842" w:rsidP="009F470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16648E">
              <w:rPr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432901BB" w:rsidR="00B235FD" w:rsidRDefault="002D7A7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  <w:r w:rsidR="00A77DBE">
              <w:rPr>
                <w:color w:val="000000"/>
                <w:sz w:val="24"/>
                <w:szCs w:val="24"/>
              </w:rPr>
              <w:t xml:space="preserve"> </w:t>
            </w:r>
            <w:r w:rsidR="00A77DBE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بالظرف الوحيد</w:t>
            </w:r>
            <w:r w:rsidR="009329E0">
              <w:rPr>
                <w:color w:val="000000"/>
                <w:sz w:val="24"/>
                <w:szCs w:val="24"/>
                <w:lang w:bidi="ar-LB"/>
              </w:rPr>
              <w:t xml:space="preserve"> 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17E68FB6" w:rsidR="009A3962" w:rsidRDefault="009A396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  <w:r w:rsidR="0024709A"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العرض الإقتصادي الأفضل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8C06673" w:rsidR="00A049F7" w:rsidRDefault="00501F3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39F38470" w:rsidR="00B235FD" w:rsidRDefault="00501F3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51831A00" w:rsidR="00A172A5" w:rsidRPr="007662C3" w:rsidRDefault="00B70184" w:rsidP="00B7018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A77DB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January 2024</w:t>
            </w:r>
            <w:r w:rsidR="00A77DBE">
              <w:rPr>
                <w:color w:val="000000"/>
                <w:sz w:val="24"/>
                <w:szCs w:val="24"/>
              </w:rPr>
              <w:t xml:space="preserve"> at </w:t>
            </w:r>
            <w:r w:rsidR="00E67F96">
              <w:rPr>
                <w:color w:val="000000"/>
                <w:sz w:val="24"/>
                <w:szCs w:val="24"/>
              </w:rPr>
              <w:t>11</w:t>
            </w:r>
            <w:r w:rsidR="009F4706" w:rsidRPr="007662C3">
              <w:rPr>
                <w:color w:val="000000"/>
                <w:sz w:val="24"/>
                <w:szCs w:val="24"/>
              </w:rPr>
              <w:t>:00 A</w:t>
            </w:r>
            <w:r w:rsidR="00501F37" w:rsidRPr="007662C3">
              <w:rPr>
                <w:color w:val="000000"/>
                <w:sz w:val="24"/>
                <w:szCs w:val="24"/>
              </w:rPr>
              <w:t>M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08FD3CC5" w:rsidR="0029172A" w:rsidRPr="007662C3" w:rsidRDefault="00B70184" w:rsidP="00B7018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January </w:t>
            </w:r>
            <w:bookmarkStart w:id="0" w:name="_GoBack"/>
            <w:bookmarkEnd w:id="0"/>
            <w:r w:rsidR="00A77DBE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4</w:t>
            </w:r>
            <w:r w:rsidR="00A77DBE">
              <w:rPr>
                <w:color w:val="000000"/>
                <w:sz w:val="24"/>
                <w:szCs w:val="24"/>
              </w:rPr>
              <w:t xml:space="preserve"> at </w:t>
            </w:r>
            <w:r w:rsidR="00E67F96">
              <w:rPr>
                <w:color w:val="000000"/>
                <w:sz w:val="24"/>
                <w:szCs w:val="24"/>
              </w:rPr>
              <w:t>1</w:t>
            </w:r>
            <w:r w:rsidR="009F4706" w:rsidRPr="007662C3">
              <w:rPr>
                <w:color w:val="000000"/>
                <w:sz w:val="24"/>
                <w:szCs w:val="24"/>
              </w:rPr>
              <w:t>1:00 AM</w:t>
            </w:r>
          </w:p>
        </w:tc>
      </w:tr>
      <w:tr w:rsidR="00A172A5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11F08BD8" w:rsidR="00A172A5" w:rsidRDefault="0065183C" w:rsidP="009329E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NA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5E2FF751" w14:textId="0DFBB68B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566B173C" w14:textId="62352458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06825386" w14:textId="2E893EA6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  <w:r w:rsidR="00C600EA">
              <w:rPr>
                <w:color w:val="000000"/>
              </w:rPr>
              <w:t xml:space="preserve"> </w:t>
            </w:r>
          </w:p>
          <w:p w14:paraId="0EE2411F" w14:textId="241BEDEF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F91FE04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A0D1FEC" w14:textId="5ECAC607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9F4706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9F4706" w:rsidRPr="000F5BBC" w:rsidRDefault="009F4706" w:rsidP="009F4706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6BDED0F1" w:rsidR="009F4706" w:rsidRDefault="00B70184" w:rsidP="009F470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$300</w:t>
            </w:r>
          </w:p>
        </w:tc>
      </w:tr>
      <w:tr w:rsidR="009F4706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9F4706" w:rsidRPr="000F5BBC" w:rsidRDefault="009F4706" w:rsidP="009F4706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35DFF073" w:rsidR="009F4706" w:rsidRDefault="009F4706" w:rsidP="00A77DB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EC5F24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6F680ACD" w:rsidR="00B235FD" w:rsidRPr="00C600EA" w:rsidRDefault="00C600EA" w:rsidP="004402B8">
            <w:pPr>
              <w:spacing w:line="360" w:lineRule="auto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402B8" w:rsidRPr="00F5456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>
              <w:t xml:space="preserve"> </w:t>
            </w:r>
            <w:hyperlink r:id="rId6" w:history="1">
              <w:r w:rsidR="004402B8" w:rsidRPr="00F54560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  <w:r w:rsidR="004402B8">
              <w:t xml:space="preserve"> </w:t>
            </w:r>
            <w:r w:rsidR="004402B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t xml:space="preserve"> 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714C"/>
    <w:rsid w:val="00051B21"/>
    <w:rsid w:val="00057E7A"/>
    <w:rsid w:val="000C323F"/>
    <w:rsid w:val="000C4C75"/>
    <w:rsid w:val="000F5BBC"/>
    <w:rsid w:val="001176D5"/>
    <w:rsid w:val="001532FA"/>
    <w:rsid w:val="0016648E"/>
    <w:rsid w:val="0018466D"/>
    <w:rsid w:val="00196C08"/>
    <w:rsid w:val="001A4716"/>
    <w:rsid w:val="001B03BC"/>
    <w:rsid w:val="00206B49"/>
    <w:rsid w:val="0021171F"/>
    <w:rsid w:val="00232E85"/>
    <w:rsid w:val="00241015"/>
    <w:rsid w:val="0024709A"/>
    <w:rsid w:val="00257D4C"/>
    <w:rsid w:val="002643B1"/>
    <w:rsid w:val="002846FE"/>
    <w:rsid w:val="0029172A"/>
    <w:rsid w:val="00297452"/>
    <w:rsid w:val="002B494C"/>
    <w:rsid w:val="002B7048"/>
    <w:rsid w:val="002C14E6"/>
    <w:rsid w:val="002D7A72"/>
    <w:rsid w:val="002E4633"/>
    <w:rsid w:val="00312085"/>
    <w:rsid w:val="00330D49"/>
    <w:rsid w:val="00376DEB"/>
    <w:rsid w:val="003927AE"/>
    <w:rsid w:val="003D35EC"/>
    <w:rsid w:val="003E594F"/>
    <w:rsid w:val="00421177"/>
    <w:rsid w:val="00421691"/>
    <w:rsid w:val="00426B60"/>
    <w:rsid w:val="004402B8"/>
    <w:rsid w:val="00493266"/>
    <w:rsid w:val="004A1335"/>
    <w:rsid w:val="004B062A"/>
    <w:rsid w:val="004C34D2"/>
    <w:rsid w:val="004F6185"/>
    <w:rsid w:val="00501F37"/>
    <w:rsid w:val="0053774B"/>
    <w:rsid w:val="00560775"/>
    <w:rsid w:val="005A0FD0"/>
    <w:rsid w:val="005A5719"/>
    <w:rsid w:val="005D3E76"/>
    <w:rsid w:val="00602315"/>
    <w:rsid w:val="00607625"/>
    <w:rsid w:val="00614D21"/>
    <w:rsid w:val="00646963"/>
    <w:rsid w:val="0065183C"/>
    <w:rsid w:val="00693D36"/>
    <w:rsid w:val="006B5B5A"/>
    <w:rsid w:val="006C7163"/>
    <w:rsid w:val="00710D03"/>
    <w:rsid w:val="007524D1"/>
    <w:rsid w:val="007662C3"/>
    <w:rsid w:val="0079090C"/>
    <w:rsid w:val="00794506"/>
    <w:rsid w:val="00795C6E"/>
    <w:rsid w:val="007E2C66"/>
    <w:rsid w:val="007F36D7"/>
    <w:rsid w:val="007F6601"/>
    <w:rsid w:val="00801F32"/>
    <w:rsid w:val="0081782A"/>
    <w:rsid w:val="00823E2E"/>
    <w:rsid w:val="008C11A2"/>
    <w:rsid w:val="008D3049"/>
    <w:rsid w:val="008E70EB"/>
    <w:rsid w:val="00901133"/>
    <w:rsid w:val="0091237C"/>
    <w:rsid w:val="009168D1"/>
    <w:rsid w:val="00925BF0"/>
    <w:rsid w:val="0092753D"/>
    <w:rsid w:val="009329E0"/>
    <w:rsid w:val="00940B28"/>
    <w:rsid w:val="009552E8"/>
    <w:rsid w:val="00961B11"/>
    <w:rsid w:val="00967D45"/>
    <w:rsid w:val="00977899"/>
    <w:rsid w:val="00985382"/>
    <w:rsid w:val="009945A4"/>
    <w:rsid w:val="009A3962"/>
    <w:rsid w:val="009A3DDC"/>
    <w:rsid w:val="009C7D15"/>
    <w:rsid w:val="009D4EF8"/>
    <w:rsid w:val="009F4706"/>
    <w:rsid w:val="00A049F7"/>
    <w:rsid w:val="00A172A5"/>
    <w:rsid w:val="00A23D1D"/>
    <w:rsid w:val="00A77DBE"/>
    <w:rsid w:val="00A859BE"/>
    <w:rsid w:val="00A975FF"/>
    <w:rsid w:val="00AA2A6E"/>
    <w:rsid w:val="00AD30C8"/>
    <w:rsid w:val="00AE0E36"/>
    <w:rsid w:val="00B07DA1"/>
    <w:rsid w:val="00B111F4"/>
    <w:rsid w:val="00B235FD"/>
    <w:rsid w:val="00B23D2D"/>
    <w:rsid w:val="00B70184"/>
    <w:rsid w:val="00B907AE"/>
    <w:rsid w:val="00BC4AC3"/>
    <w:rsid w:val="00C036B8"/>
    <w:rsid w:val="00C04D5C"/>
    <w:rsid w:val="00C07FFD"/>
    <w:rsid w:val="00C23DB5"/>
    <w:rsid w:val="00C45470"/>
    <w:rsid w:val="00C600EA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7469C"/>
    <w:rsid w:val="00D77AA6"/>
    <w:rsid w:val="00DB1842"/>
    <w:rsid w:val="00E30E9C"/>
    <w:rsid w:val="00E35D1F"/>
    <w:rsid w:val="00E36313"/>
    <w:rsid w:val="00E4646C"/>
    <w:rsid w:val="00E56044"/>
    <w:rsid w:val="00E60DD0"/>
    <w:rsid w:val="00E67F96"/>
    <w:rsid w:val="00EB30B4"/>
    <w:rsid w:val="00EB6B1F"/>
    <w:rsid w:val="00EB7FF3"/>
    <w:rsid w:val="00EC214E"/>
    <w:rsid w:val="00EE738A"/>
    <w:rsid w:val="00F04DAC"/>
    <w:rsid w:val="00F311FB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chProcurement@touch.com.l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Rajeh Kharouf</cp:lastModifiedBy>
  <cp:revision>2</cp:revision>
  <cp:lastPrinted>2022-08-29T09:45:00Z</cp:lastPrinted>
  <dcterms:created xsi:type="dcterms:W3CDTF">2023-12-14T12:01:00Z</dcterms:created>
  <dcterms:modified xsi:type="dcterms:W3CDTF">2023-12-14T12:01:00Z</dcterms:modified>
</cp:coreProperties>
</file>