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1448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14481">
              <w:rPr>
                <w:rFonts w:hint="cs"/>
                <w:color w:val="000000"/>
                <w:sz w:val="28"/>
                <w:szCs w:val="28"/>
                <w:rtl/>
              </w:rPr>
              <w:t xml:space="preserve">مبنى بلدية بلاط 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color w:val="000000"/>
                <w:sz w:val="28"/>
                <w:szCs w:val="28"/>
                <w:rtl/>
              </w:rPr>
              <w:t>–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1448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1448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E1448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80537F" w:rsidRDefault="00BA7283" w:rsidP="00E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1448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1448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1448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1448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430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14481">
              <w:rPr>
                <w:rFonts w:ascii="Cairo" w:hAnsi="Cairo"/>
                <w:color w:val="000000"/>
                <w:spacing w:val="2"/>
                <w:sz w:val="23"/>
                <w:szCs w:val="23"/>
                <w:shd w:val="clear" w:color="auto" w:fill="FFFFFF"/>
                <w:rtl/>
              </w:rPr>
              <w:t>فقط ثلاثة مليار ومائتان وأربعون مليون ومائة وأربعة ألف وأربعة مائة وثلاثون ليرة لا غير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14481" w:rsidP="00E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24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C3" w:rsidRDefault="00832AC3" w:rsidP="00C27E3D">
      <w:r>
        <w:separator/>
      </w:r>
    </w:p>
  </w:endnote>
  <w:endnote w:type="continuationSeparator" w:id="0">
    <w:p w:rsidR="00832AC3" w:rsidRDefault="00832AC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C3" w:rsidRDefault="00832AC3" w:rsidP="00C27E3D">
      <w:r>
        <w:separator/>
      </w:r>
    </w:p>
  </w:footnote>
  <w:footnote w:type="continuationSeparator" w:id="0">
    <w:p w:rsidR="00832AC3" w:rsidRDefault="00832AC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914A1"/>
    <w:rsid w:val="002943B6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95EB8"/>
    <w:rsid w:val="006C4594"/>
    <w:rsid w:val="006D1CA7"/>
    <w:rsid w:val="006F7B39"/>
    <w:rsid w:val="007227A6"/>
    <w:rsid w:val="0079681F"/>
    <w:rsid w:val="0080537F"/>
    <w:rsid w:val="008212F9"/>
    <w:rsid w:val="00832AC3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4481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BAD22"/>
  <w15:docId w15:val="{26B24C8A-9951-4B1B-A0A1-BC7996F1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9EC5-70F4-4E2C-9029-80FBC005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2025-07-24T20:28:00Z</dcterms:created>
  <dcterms:modified xsi:type="dcterms:W3CDTF">2025-07-24T20:28:00Z</dcterms:modified>
</cp:coreProperties>
</file>