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373CB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373CB9">
              <w:rPr>
                <w:b/>
                <w:color w:val="000000"/>
                <w:sz w:val="28"/>
                <w:szCs w:val="28"/>
              </w:rPr>
              <w:t>HP</w:t>
            </w:r>
            <w:r w:rsidR="00BE0C9B">
              <w:rPr>
                <w:b/>
                <w:color w:val="000000"/>
                <w:sz w:val="28"/>
                <w:szCs w:val="28"/>
              </w:rPr>
              <w:t xml:space="preserve"> Toners RFQ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MoT</w:t>
            </w:r>
            <w:proofErr w:type="spellEnd"/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/25-0862/MIC2/FIN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98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982596">
              <w:rPr>
                <w:color w:val="000000"/>
                <w:sz w:val="28"/>
                <w:szCs w:val="28"/>
              </w:rPr>
              <w:t>0862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982596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982596">
              <w:rPr>
                <w:color w:val="000000"/>
                <w:sz w:val="28"/>
                <w:szCs w:val="28"/>
              </w:rPr>
              <w:t>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767E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8B326A">
              <w:rPr>
                <w:b/>
                <w:color w:val="000000"/>
                <w:sz w:val="28"/>
                <w:szCs w:val="28"/>
              </w:rPr>
              <w:t>EZ order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767E03">
              <w:rPr>
                <w:color w:val="000000"/>
                <w:sz w:val="28"/>
                <w:szCs w:val="28"/>
              </w:rPr>
              <w:t>Jnah</w:t>
            </w:r>
            <w:proofErr w:type="spellEnd"/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7E03">
              <w:rPr>
                <w:color w:val="000000"/>
                <w:sz w:val="28"/>
                <w:szCs w:val="28"/>
              </w:rPr>
              <w:t>Ghobeyri</w:t>
            </w:r>
            <w:proofErr w:type="spellEnd"/>
            <w:r w:rsidR="009541B3">
              <w:rPr>
                <w:color w:val="000000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56146F" w:rsidRPr="0056146F">
              <w:rPr>
                <w:color w:val="000000"/>
                <w:sz w:val="28"/>
                <w:szCs w:val="28"/>
              </w:rPr>
              <w:t xml:space="preserve">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C97604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EZ order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C97604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C97604">
                    <w:rPr>
                      <w:color w:val="000000"/>
                      <w:sz w:val="28"/>
                      <w:szCs w:val="28"/>
                    </w:rPr>
                    <w:t>36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C97604">
                    <w:rPr>
                      <w:color w:val="000000"/>
                      <w:sz w:val="28"/>
                      <w:szCs w:val="28"/>
                    </w:rPr>
                    <w:t>913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592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92382">
              <w:rPr>
                <w:color w:val="000000"/>
                <w:sz w:val="28"/>
                <w:szCs w:val="28"/>
              </w:rPr>
              <w:t>14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3750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3CB9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43743"/>
    <w:rsid w:val="006671B9"/>
    <w:rsid w:val="00693515"/>
    <w:rsid w:val="006A6AEE"/>
    <w:rsid w:val="006B0DA6"/>
    <w:rsid w:val="006D5657"/>
    <w:rsid w:val="007103D9"/>
    <w:rsid w:val="0072133D"/>
    <w:rsid w:val="00767E03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B326A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52B8A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55F58"/>
    <w:rsid w:val="00C655AF"/>
    <w:rsid w:val="00C97604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22</cp:revision>
  <cp:lastPrinted>2023-05-30T10:37:00Z</cp:lastPrinted>
  <dcterms:created xsi:type="dcterms:W3CDTF">2025-09-30T13:11:00Z</dcterms:created>
  <dcterms:modified xsi:type="dcterms:W3CDTF">2025-09-30T14:39:00Z</dcterms:modified>
</cp:coreProperties>
</file>