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53E0F517" w:rsidR="006D1333" w:rsidRPr="000E6476" w:rsidRDefault="001F3639" w:rsidP="001F3639">
      <w:pPr>
        <w:pStyle w:val="NoSpacing"/>
        <w:bidi/>
        <w:jc w:val="center"/>
        <w:rPr>
          <w:rFonts w:ascii="Arial" w:hAnsi="Arial" w:cs="Arial"/>
          <w:sz w:val="33"/>
          <w:szCs w:val="33"/>
          <w:rtl/>
          <w:lang w:bidi="ar-LB"/>
        </w:rPr>
      </w:pPr>
      <w:r w:rsidRPr="001F3639">
        <w:rPr>
          <w:rFonts w:ascii="Calibri" w:eastAsia="Calibri" w:hAnsi="Calibri" w:cs="Arial"/>
          <w:b/>
          <w:bCs/>
          <w:sz w:val="40"/>
          <w:szCs w:val="40"/>
          <w:rtl/>
          <w:lang w:bidi="ar-LB"/>
        </w:rPr>
        <w:t>ترميم مبنى بلدية زيتا - قضاء صيدا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E9487D4" w:rsidR="00554F70" w:rsidRDefault="00554F70" w:rsidP="00683786">
      <w:pPr>
        <w:pStyle w:val="NoSpacing"/>
        <w:bidi/>
        <w:jc w:val="center"/>
        <w:rPr>
          <w:rFonts w:ascii="Arial" w:hAnsi="Arial" w:cs="Arial"/>
          <w:b/>
          <w:bCs/>
          <w:sz w:val="32"/>
          <w:szCs w:val="32"/>
          <w:u w:val="single"/>
          <w:rtl/>
          <w:lang w:bidi="ar-LB"/>
        </w:rPr>
      </w:pPr>
    </w:p>
    <w:p w14:paraId="232BB8FE" w14:textId="77777777" w:rsidR="001F3639" w:rsidRDefault="001F3639" w:rsidP="001F3639">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BE4926F" w:rsidR="00FC0818" w:rsidRPr="00325BA1" w:rsidRDefault="001F3639" w:rsidP="00442EBF">
            <w:pPr>
              <w:spacing w:after="160" w:line="259" w:lineRule="auto"/>
              <w:jc w:val="left"/>
              <w:rPr>
                <w:rFonts w:asciiTheme="majorBidi" w:hAnsiTheme="majorBidi" w:cs="Times New Roman"/>
                <w:b/>
                <w:bCs/>
                <w:color w:val="000000" w:themeColor="text1"/>
                <w:sz w:val="36"/>
                <w:szCs w:val="36"/>
                <w:rtl/>
                <w:lang w:bidi="ar-LB"/>
              </w:rPr>
            </w:pPr>
            <w:r w:rsidRPr="001F3639">
              <w:rPr>
                <w:rFonts w:ascii="Arial" w:eastAsiaTheme="minorHAnsi" w:hAnsi="Arial" w:cs="Arial"/>
                <w:b/>
                <w:bCs/>
                <w:sz w:val="32"/>
                <w:szCs w:val="32"/>
                <w:rtl/>
                <w:lang w:bidi="ar-LB"/>
              </w:rPr>
              <w:t>ترميم مبنى بلدية زيتا - قضاء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BE1B27E" w:rsidR="004D423D" w:rsidRPr="001F3639" w:rsidRDefault="00955FA9" w:rsidP="001F3639">
            <w:pPr>
              <w:pStyle w:val="NoSpacing"/>
              <w:bidi/>
              <w:spacing w:line="360" w:lineRule="auto"/>
              <w:jc w:val="both"/>
              <w:rPr>
                <w:rFonts w:asciiTheme="majorBidi" w:hAnsiTheme="majorBidi" w:cstheme="majorBidi"/>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1F3639" w:rsidRPr="001F3639">
              <w:rPr>
                <w:rFonts w:asciiTheme="majorBidi" w:hAnsiTheme="majorBidi" w:cstheme="majorBidi" w:hint="cs"/>
                <w:b/>
                <w:bCs/>
                <w:color w:val="000000" w:themeColor="text1"/>
                <w:sz w:val="32"/>
                <w:szCs w:val="32"/>
                <w:u w:val="single"/>
                <w:rtl/>
                <w:lang w:bidi="ar-LB"/>
              </w:rPr>
              <w:t>300.000.000</w:t>
            </w:r>
            <w:r w:rsidRPr="00E97C54">
              <w:rPr>
                <w:rFonts w:asciiTheme="majorBidi" w:hAnsiTheme="majorBidi" w:cstheme="majorBidi"/>
                <w:b/>
                <w:bCs/>
                <w:color w:val="000000" w:themeColor="text1"/>
                <w:sz w:val="32"/>
                <w:szCs w:val="32"/>
                <w:u w:val="single"/>
                <w:rtl/>
                <w:lang w:bidi="ar-LB"/>
              </w:rPr>
              <w:t>/ل.ل.</w:t>
            </w:r>
          </w:p>
          <w:p w14:paraId="7435D277" w14:textId="552DE1CF" w:rsidR="00B214DD" w:rsidRPr="000A655C" w:rsidRDefault="00B214DD" w:rsidP="001F363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1F3639">
              <w:rPr>
                <w:rFonts w:asciiTheme="majorBidi" w:hAnsiTheme="majorBidi" w:cstheme="majorBidi" w:hint="cs"/>
                <w:b/>
                <w:bCs/>
                <w:color w:val="000000" w:themeColor="text1"/>
                <w:sz w:val="32"/>
                <w:szCs w:val="32"/>
                <w:u w:val="single"/>
                <w:rtl/>
                <w:lang w:bidi="ar-LB"/>
              </w:rPr>
              <w:t>ثلاثمائة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8F70690" w:rsidR="00A47130" w:rsidRPr="000A655C" w:rsidRDefault="001F3639"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F063BCA" w:rsidR="009E73D7" w:rsidRPr="008466CA" w:rsidRDefault="009E73D7" w:rsidP="001F3639">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1F3639" w:rsidRPr="001F3639">
        <w:rPr>
          <w:rFonts w:asciiTheme="majorBidi" w:hAnsiTheme="majorBidi" w:cs="Times New Roman"/>
          <w:color w:val="000000" w:themeColor="text1"/>
          <w:sz w:val="28"/>
          <w:szCs w:val="28"/>
          <w:rtl/>
        </w:rPr>
        <w:t>ترميم مبنى بلدية زيتا - قضاء صيدا</w:t>
      </w:r>
      <w:r w:rsidR="001F3639">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6FCAF884"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77D3164C"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66472AA8" w14:textId="77777777" w:rsidR="00DF02D5" w:rsidRP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w:t>
      </w:r>
      <w:r w:rsidRPr="0033778E">
        <w:rPr>
          <w:rFonts w:ascii="Arial" w:hAnsi="Arial" w:cs="Arial"/>
          <w:color w:val="000000"/>
          <w:sz w:val="32"/>
          <w:szCs w:val="32"/>
          <w:rtl/>
        </w:rPr>
        <w:lastRenderedPageBreak/>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lastRenderedPageBreak/>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8DE3E47" w:rsidR="009E73D7" w:rsidRPr="0033778E" w:rsidRDefault="009E73D7" w:rsidP="001F3639">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 xml:space="preserve">قيمة ضمان العرض لهذه الصفقة هي </w:t>
      </w:r>
      <w:proofErr w:type="gramStart"/>
      <w:r w:rsidRPr="0033778E">
        <w:rPr>
          <w:rFonts w:ascii="Arial" w:hAnsi="Arial" w:cs="Arial"/>
          <w:sz w:val="32"/>
          <w:szCs w:val="32"/>
          <w:rtl/>
          <w:lang w:bidi="ar-LB"/>
        </w:rPr>
        <w:t>/</w:t>
      </w:r>
      <w:r w:rsidR="00505E88">
        <w:rPr>
          <w:rFonts w:ascii="Arial" w:hAnsi="Arial" w:cs="Arial" w:hint="cs"/>
          <w:sz w:val="32"/>
          <w:szCs w:val="32"/>
          <w:rtl/>
          <w:lang w:bidi="ar-LB"/>
        </w:rPr>
        <w:t xml:space="preserve"> </w:t>
      </w:r>
      <w:r w:rsidR="001F3639" w:rsidRPr="001F3639">
        <w:rPr>
          <w:rFonts w:asciiTheme="majorBidi" w:hAnsiTheme="majorBidi" w:cstheme="majorBidi" w:hint="cs"/>
          <w:b/>
          <w:bCs/>
          <w:color w:val="000000" w:themeColor="text1"/>
          <w:sz w:val="32"/>
          <w:szCs w:val="32"/>
          <w:u w:val="single"/>
          <w:rtl/>
          <w:lang w:bidi="ar-LB"/>
        </w:rPr>
        <w:t xml:space="preserve"> </w:t>
      </w:r>
      <w:r w:rsidR="001F3639">
        <w:rPr>
          <w:rFonts w:asciiTheme="majorBidi" w:hAnsiTheme="majorBidi" w:cstheme="majorBidi" w:hint="cs"/>
          <w:b/>
          <w:bCs/>
          <w:color w:val="000000" w:themeColor="text1"/>
          <w:sz w:val="32"/>
          <w:szCs w:val="32"/>
          <w:u w:val="single"/>
          <w:rtl/>
          <w:lang w:bidi="ar-LB"/>
        </w:rPr>
        <w:t>ثلاثمائة</w:t>
      </w:r>
      <w:proofErr w:type="gramEnd"/>
      <w:r w:rsidR="001F3639">
        <w:rPr>
          <w:rFonts w:asciiTheme="majorBidi" w:hAnsiTheme="majorBidi" w:cstheme="majorBidi" w:hint="cs"/>
          <w:b/>
          <w:bCs/>
          <w:color w:val="000000" w:themeColor="text1"/>
          <w:sz w:val="32"/>
          <w:szCs w:val="32"/>
          <w:u w:val="single"/>
          <w:rtl/>
          <w:lang w:bidi="ar-LB"/>
        </w:rPr>
        <w:t xml:space="preserve">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w:t>
      </w:r>
      <w:r w:rsidRPr="009066A5">
        <w:rPr>
          <w:rFonts w:ascii="Arial" w:hAnsi="Arial" w:cs="Arial"/>
          <w:color w:val="000000"/>
          <w:sz w:val="31"/>
          <w:szCs w:val="31"/>
          <w:rtl/>
        </w:rPr>
        <w:lastRenderedPageBreak/>
        <w:t xml:space="preserve">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lastRenderedPageBreak/>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6B72370C" w:rsidR="009E73D7" w:rsidRPr="003741C9" w:rsidRDefault="009E73D7" w:rsidP="001F3639">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F3639">
        <w:rPr>
          <w:rFonts w:ascii="Arial" w:hAnsi="Arial" w:cs="Arial" w:hint="cs"/>
          <w:sz w:val="30"/>
          <w:szCs w:val="30"/>
          <w:rtl/>
          <w:lang w:bidi="ar-LB"/>
        </w:rPr>
        <w:t xml:space="preserve"> </w:t>
      </w:r>
      <w:r w:rsidR="001F3639" w:rsidRPr="001F3639">
        <w:rPr>
          <w:rFonts w:ascii="Arial" w:hAnsi="Arial" w:cs="Arial" w:hint="cs"/>
          <w:b/>
          <w:bCs/>
          <w:sz w:val="30"/>
          <w:szCs w:val="30"/>
          <w:rtl/>
          <w:lang w:bidi="ar-LB"/>
        </w:rPr>
        <w:t>ثلاثة أشه</w:t>
      </w:r>
      <w:bookmarkStart w:id="0" w:name="_GoBack"/>
      <w:bookmarkEnd w:id="0"/>
      <w:r w:rsidR="001F3639" w:rsidRPr="001F3639">
        <w:rPr>
          <w:rFonts w:ascii="Arial" w:hAnsi="Arial" w:cs="Arial" w:hint="cs"/>
          <w:b/>
          <w:bCs/>
          <w:sz w:val="30"/>
          <w:szCs w:val="30"/>
          <w:rtl/>
          <w:lang w:bidi="ar-LB"/>
        </w:rPr>
        <w:t>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w:t>
      </w:r>
      <w:r w:rsidRPr="003741C9">
        <w:rPr>
          <w:rFonts w:ascii="Arial" w:hAnsi="Arial" w:cs="Arial"/>
          <w:sz w:val="30"/>
          <w:szCs w:val="30"/>
          <w:rtl/>
          <w:lang w:bidi="ar-LB"/>
        </w:rPr>
        <w:lastRenderedPageBreak/>
        <w:t xml:space="preserve">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lastRenderedPageBreak/>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lastRenderedPageBreak/>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C345" w14:textId="77777777" w:rsidR="00A74F22" w:rsidRDefault="00A74F22" w:rsidP="00262387">
      <w:r>
        <w:separator/>
      </w:r>
    </w:p>
  </w:endnote>
  <w:endnote w:type="continuationSeparator" w:id="0">
    <w:p w14:paraId="48A056EC" w14:textId="77777777" w:rsidR="00A74F22" w:rsidRDefault="00A74F2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1676E415"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1F3639">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A74F22">
      <w:fldChar w:fldCharType="begin"/>
    </w:r>
    <w:r w:rsidR="00A74F22">
      <w:instrText xml:space="preserve"> NUMPAGES  \* Arabic  \* MERGEFORMAT </w:instrText>
    </w:r>
    <w:r w:rsidR="00A74F22">
      <w:fldChar w:fldCharType="separate"/>
    </w:r>
    <w:r w:rsidR="001F3639" w:rsidRPr="001F3639">
      <w:rPr>
        <w:rFonts w:ascii="Arial" w:hAnsi="Arial" w:cs="Arial"/>
        <w:noProof/>
        <w:sz w:val="20"/>
        <w:szCs w:val="20"/>
      </w:rPr>
      <w:t>22</w:t>
    </w:r>
    <w:r w:rsidR="00A74F22">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21DC6C6F"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F3639">
      <w:rPr>
        <w:noProof/>
        <w:sz w:val="22"/>
        <w:szCs w:val="22"/>
      </w:rPr>
      <w:t>1</w:t>
    </w:r>
    <w:r w:rsidR="007B3A53" w:rsidRPr="00900B0F">
      <w:rPr>
        <w:sz w:val="22"/>
        <w:szCs w:val="22"/>
      </w:rPr>
      <w:fldChar w:fldCharType="end"/>
    </w:r>
    <w:r w:rsidRPr="00900B0F">
      <w:rPr>
        <w:sz w:val="22"/>
        <w:szCs w:val="22"/>
      </w:rPr>
      <w:t xml:space="preserve"> of </w:t>
    </w:r>
    <w:r w:rsidR="00A74F22">
      <w:fldChar w:fldCharType="begin"/>
    </w:r>
    <w:r w:rsidR="00A74F22">
      <w:instrText xml:space="preserve"> NUMPAGES  \* Arabic  \* MERGEFORMAT </w:instrText>
    </w:r>
    <w:r w:rsidR="00A74F22">
      <w:fldChar w:fldCharType="separate"/>
    </w:r>
    <w:r w:rsidR="001F3639" w:rsidRPr="001F3639">
      <w:rPr>
        <w:noProof/>
        <w:sz w:val="22"/>
        <w:szCs w:val="22"/>
      </w:rPr>
      <w:t>22</w:t>
    </w:r>
    <w:r w:rsidR="00A74F22">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ACFD3" w14:textId="77777777" w:rsidR="00A74F22" w:rsidRDefault="00A74F22" w:rsidP="00262387">
      <w:r>
        <w:separator/>
      </w:r>
    </w:p>
  </w:footnote>
  <w:footnote w:type="continuationSeparator" w:id="0">
    <w:p w14:paraId="07440F6F" w14:textId="77777777" w:rsidR="00A74F22" w:rsidRDefault="00A74F2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3639"/>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74F22"/>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5884-C20A-4339-8FE4-A4C7E759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5728</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91</cp:revision>
  <cp:lastPrinted>2025-08-12T09:52:00Z</cp:lastPrinted>
  <dcterms:created xsi:type="dcterms:W3CDTF">2024-12-19T10:15:00Z</dcterms:created>
  <dcterms:modified xsi:type="dcterms:W3CDTF">2025-11-06T10:25:00Z</dcterms:modified>
</cp:coreProperties>
</file>