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6121F766" w:rsidR="00B235FD" w:rsidRPr="00027D3B" w:rsidRDefault="00996711" w:rsidP="007B57F1">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7B57F1">
              <w:rPr>
                <w:rFonts w:ascii="Simplified Arabic" w:hAnsi="Simplified Arabic" w:cs="Simplified Arabic" w:hint="cs"/>
                <w:color w:val="000000"/>
                <w:sz w:val="24"/>
                <w:szCs w:val="24"/>
                <w:rtl/>
              </w:rPr>
              <w:t>57</w:t>
            </w:r>
            <w:r w:rsidRPr="00027D3B">
              <w:rPr>
                <w:rFonts w:ascii="Simplified Arabic" w:hAnsi="Simplified Arabic" w:cs="Simplified Arabic"/>
                <w:color w:val="000000"/>
                <w:sz w:val="24"/>
                <w:szCs w:val="24"/>
                <w:rtl/>
              </w:rPr>
              <w:t>/</w:t>
            </w:r>
            <w:r w:rsidR="00DD2DC2">
              <w:rPr>
                <w:rFonts w:ascii="Simplified Arabic" w:hAnsi="Simplified Arabic" w:cs="Simplified Arabic" w:hint="cs"/>
                <w:color w:val="000000"/>
                <w:sz w:val="24"/>
                <w:szCs w:val="24"/>
                <w:rtl/>
              </w:rPr>
              <w:t>2026</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037CEA18" w:rsidR="00B235FD" w:rsidRPr="00027D3B" w:rsidRDefault="007B57F1" w:rsidP="007975A7">
            <w:pPr>
              <w:spacing w:line="240" w:lineRule="auto"/>
              <w:ind w:hanging="2"/>
              <w:jc w:val="both"/>
              <w:rPr>
                <w:rFonts w:ascii="Simplified Arabic" w:hAnsi="Simplified Arabic" w:cs="Simplified Arabic"/>
                <w:color w:val="000000"/>
                <w:sz w:val="24"/>
                <w:szCs w:val="24"/>
              </w:rPr>
            </w:pPr>
            <w:r w:rsidRPr="007B57F1">
              <w:rPr>
                <w:rFonts w:ascii="Simplified Arabic" w:hAnsi="Simplified Arabic" w:cs="Simplified Arabic"/>
                <w:color w:val="000000"/>
                <w:sz w:val="24"/>
                <w:szCs w:val="24"/>
                <w:rtl/>
              </w:rPr>
              <w:t xml:space="preserve">تقديم محولات شدة </w:t>
            </w:r>
            <w:r w:rsidRPr="007B57F1">
              <w:rPr>
                <w:rFonts w:ascii="Simplified Arabic" w:hAnsi="Simplified Arabic" w:cs="Simplified Arabic"/>
                <w:color w:val="000000"/>
                <w:sz w:val="24"/>
                <w:szCs w:val="24"/>
              </w:rPr>
              <w:t>TC</w:t>
            </w:r>
            <w:r w:rsidRPr="007B57F1">
              <w:rPr>
                <w:rFonts w:ascii="Simplified Arabic" w:hAnsi="Simplified Arabic" w:cs="Simplified Arabic"/>
                <w:color w:val="000000"/>
                <w:sz w:val="24"/>
                <w:szCs w:val="24"/>
                <w:rtl/>
              </w:rPr>
              <w:t xml:space="preserve"> لزوم المولدات ومحطات التوتر المتوسط في المعامل الثلاثة العائدة للمصلحة الوطنية ل</w:t>
            </w:r>
            <w:r>
              <w:rPr>
                <w:rFonts w:ascii="Simplified Arabic" w:hAnsi="Simplified Arabic" w:cs="Simplified Arabic"/>
                <w:color w:val="000000"/>
                <w:sz w:val="24"/>
                <w:szCs w:val="24"/>
                <w:rtl/>
              </w:rPr>
              <w:t>نهر الليطاني مركبا، الأولي وجون</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027D3B" w:rsidRDefault="00203922" w:rsidP="0099671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الموازنة العامة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517CA659" w:rsidR="00996711" w:rsidRPr="00027D3B" w:rsidRDefault="007B57F1" w:rsidP="007975A7">
            <w:pPr>
              <w:spacing w:line="240" w:lineRule="auto"/>
              <w:ind w:hanging="2"/>
              <w:jc w:val="both"/>
              <w:rPr>
                <w:rFonts w:ascii="Simplified Arabic" w:hAnsi="Simplified Arabic" w:cs="Simplified Arabic"/>
                <w:color w:val="000000"/>
                <w:sz w:val="24"/>
                <w:szCs w:val="24"/>
              </w:rPr>
            </w:pPr>
            <w:r w:rsidRPr="007B57F1">
              <w:rPr>
                <w:rFonts w:ascii="Simplified Arabic" w:hAnsi="Simplified Arabic" w:cs="Simplified Arabic"/>
                <w:sz w:val="26"/>
                <w:szCs w:val="26"/>
                <w:rtl/>
              </w:rPr>
              <w:t xml:space="preserve">إن الغاية من هذا الالتزام هي تقديم ونقل الى مخازن المصلحة في معمل بولس أرقش (الأولي) قرب بلدة بسري-جزين، محولات شدة </w:t>
            </w:r>
            <w:r w:rsidRPr="007B57F1">
              <w:rPr>
                <w:rFonts w:ascii="Simplified Arabic" w:hAnsi="Simplified Arabic" w:cs="Simplified Arabic"/>
                <w:sz w:val="26"/>
                <w:szCs w:val="26"/>
              </w:rPr>
              <w:t>TC</w:t>
            </w:r>
            <w:r w:rsidRPr="007B57F1">
              <w:rPr>
                <w:rFonts w:ascii="Simplified Arabic" w:hAnsi="Simplified Arabic" w:cs="Simplified Arabic"/>
                <w:sz w:val="26"/>
                <w:szCs w:val="26"/>
                <w:rtl/>
              </w:rPr>
              <w:t xml:space="preserve"> لزوم المولدات ومحطات التوتر المتوسط في المعامل الثلاثة العائدة للمصلحة الوطنية لنهر الليطاني: إبراهيم عبد العال (مركبا)، بولس أرقش (الأولي) وشارل حلو (جون)، وذلك وفق الشروط الادارية والمواصفات الفنية وجدول الاسعار الواردة في دفتر الشروط الخاص هذا، على أن تكون جميع القطع المقدمة من قبل المتعهد ذات منشأ أوروبي (الاتحاد الأوروبي – إنكلترا - سويسرا) أو أميركي (الولايات المتحدة أو كندا).</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1250E45E" w:rsidR="00B235FD" w:rsidRPr="00027D3B" w:rsidRDefault="00DD2DC2"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لوازم</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3CE81DBB" w:rsidR="00B235FD" w:rsidRPr="00027D3B" w:rsidRDefault="007975A7" w:rsidP="00DD2DC2">
            <w:pPr>
              <w:spacing w:line="240" w:lineRule="auto"/>
              <w:ind w:hanging="2"/>
              <w:jc w:val="both"/>
              <w:rPr>
                <w:rFonts w:ascii="Simplified Arabic" w:hAnsi="Simplified Arabic" w:cs="Simplified Arabic"/>
                <w:color w:val="000000"/>
                <w:sz w:val="24"/>
                <w:szCs w:val="24"/>
              </w:rPr>
            </w:pPr>
            <w:r w:rsidRPr="007975A7">
              <w:rPr>
                <w:rFonts w:ascii="Simplified Arabic" w:hAnsi="Simplified Arabic" w:cs="Simplified Arabic"/>
                <w:color w:val="000000"/>
                <w:sz w:val="24"/>
                <w:szCs w:val="24"/>
                <w:rtl/>
              </w:rPr>
              <w:t xml:space="preserve">مناقصة عمومية </w:t>
            </w:r>
            <w:r w:rsidR="00DD2DC2">
              <w:rPr>
                <w:rFonts w:ascii="Simplified Arabic" w:hAnsi="Simplified Arabic" w:cs="Simplified Arabic" w:hint="cs"/>
                <w:color w:val="000000"/>
                <w:sz w:val="24"/>
                <w:szCs w:val="24"/>
                <w:rtl/>
              </w:rPr>
              <w:t>على</w:t>
            </w:r>
            <w:r w:rsidRPr="007975A7">
              <w:rPr>
                <w:rFonts w:ascii="Simplified Arabic" w:hAnsi="Simplified Arabic" w:cs="Simplified Arabic"/>
                <w:color w:val="000000"/>
                <w:sz w:val="24"/>
                <w:szCs w:val="24"/>
                <w:rtl/>
              </w:rPr>
              <w:t xml:space="preserve"> اساس تقديم اسعار</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22144B36" w:rsidR="009A3962" w:rsidRPr="00027D3B" w:rsidRDefault="009A3962" w:rsidP="003108C0">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السعر الأدنى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5841108B" w:rsidR="00027D3B" w:rsidRPr="00027D3B" w:rsidRDefault="007B57F1"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أربعة </w:t>
            </w:r>
            <w:r>
              <w:rPr>
                <w:rFonts w:ascii="Simplified Arabic" w:hAnsi="Simplified Arabic" w:cs="Simplified Arabic"/>
                <w:color w:val="000000"/>
                <w:sz w:val="24"/>
                <w:szCs w:val="24"/>
                <w:rtl/>
              </w:rPr>
              <w:t>مجموع</w:t>
            </w:r>
            <w:r>
              <w:rPr>
                <w:rFonts w:ascii="Simplified Arabic" w:hAnsi="Simplified Arabic" w:cs="Simplified Arabic" w:hint="cs"/>
                <w:color w:val="000000"/>
                <w:sz w:val="24"/>
                <w:szCs w:val="24"/>
                <w:rtl/>
              </w:rPr>
              <w:t>ات</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2FC963E7" w:rsidR="009C7559" w:rsidRPr="00027D3B" w:rsidRDefault="00DD2DC2"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لا </w:t>
            </w:r>
            <w:r w:rsidR="009C7559" w:rsidRPr="00027D3B">
              <w:rPr>
                <w:rFonts w:ascii="Simplified Arabic" w:hAnsi="Simplified Arabic" w:cs="Simplified Arabic"/>
                <w:color w:val="000000"/>
                <w:sz w:val="24"/>
                <w:szCs w:val="24"/>
                <w:rtl/>
              </w:rPr>
              <w:t xml:space="preserve">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356C5E9F" w:rsidR="00203922" w:rsidRPr="00027D3B" w:rsidRDefault="00C33606"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027D3B" w:rsidRDefault="00203922" w:rsidP="00C33606">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C33606">
              <w:rPr>
                <w:rFonts w:ascii="Simplified Arabic" w:hAnsi="Simplified Arabic" w:cs="Simplified Arabic" w:hint="cs"/>
                <w:color w:val="000000"/>
                <w:sz w:val="24"/>
                <w:szCs w:val="24"/>
                <w:rtl/>
              </w:rPr>
              <w:t>رابعة</w:t>
            </w:r>
          </w:p>
        </w:tc>
      </w:tr>
    </w:tbl>
    <w:p w14:paraId="2E3499B5" w14:textId="77777777" w:rsidR="00B235FD" w:rsidRDefault="00B235FD" w:rsidP="00297452">
      <w:pPr>
        <w:spacing w:line="240" w:lineRule="auto"/>
        <w:ind w:hanging="2"/>
        <w:jc w:val="both"/>
        <w:rPr>
          <w:rFonts w:ascii="Simplified Arabic" w:hAnsi="Simplified Arabic" w:cs="Simplified Arabic"/>
          <w:sz w:val="16"/>
          <w:szCs w:val="16"/>
          <w:rtl/>
        </w:rPr>
      </w:pPr>
    </w:p>
    <w:p w14:paraId="53248048" w14:textId="77777777" w:rsidR="007B57F1" w:rsidRPr="003A68BD" w:rsidRDefault="007B57F1" w:rsidP="00297452">
      <w:pPr>
        <w:spacing w:line="240" w:lineRule="auto"/>
        <w:ind w:hanging="2"/>
        <w:jc w:val="both"/>
        <w:rPr>
          <w:rFonts w:ascii="Simplified Arabic" w:hAnsi="Simplified Arabic" w:cs="Simplified Arabic"/>
          <w:sz w:val="16"/>
          <w:szCs w:val="16"/>
        </w:rPr>
      </w:pPr>
    </w:p>
    <w:p w14:paraId="72703907" w14:textId="77777777" w:rsidR="00184CFA" w:rsidRPr="003A68BD" w:rsidRDefault="00184CFA" w:rsidP="003E594F">
      <w:pPr>
        <w:spacing w:line="240" w:lineRule="auto"/>
        <w:ind w:firstLine="0"/>
        <w:jc w:val="both"/>
        <w:rPr>
          <w:rFonts w:ascii="Simplified Arabic" w:hAnsi="Simplified Arabic" w:cs="Simplified Arabic"/>
          <w:sz w:val="16"/>
          <w:szCs w:val="16"/>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79C50AC9"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lastRenderedPageBreak/>
              <w:t>ضمان العرض</w:t>
            </w:r>
          </w:p>
        </w:tc>
      </w:tr>
      <w:tr w:rsidR="00027D3B" w:rsidRPr="00027D3B" w14:paraId="5D6F03B7" w14:textId="77777777" w:rsidTr="00027D3B">
        <w:trPr>
          <w:trHeight w:val="440"/>
        </w:trPr>
        <w:tc>
          <w:tcPr>
            <w:tcW w:w="2512" w:type="dxa"/>
            <w:tcBorders>
              <w:top w:val="dotted" w:sz="4" w:space="0" w:color="000000"/>
              <w:bottom w:val="dotted" w:sz="4" w:space="0" w:color="000000"/>
              <w:right w:val="single" w:sz="4" w:space="0" w:color="000000"/>
            </w:tcBorders>
            <w:vAlign w:val="center"/>
          </w:tcPr>
          <w:p w14:paraId="3FAC5449"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512A4391" w14:textId="5979D2EB" w:rsidR="00027D3B" w:rsidRPr="00027D3B" w:rsidRDefault="007B57F1" w:rsidP="00DD2DC2">
            <w:pPr>
              <w:spacing w:line="240" w:lineRule="auto"/>
              <w:ind w:hanging="2"/>
              <w:jc w:val="both"/>
              <w:rPr>
                <w:rFonts w:ascii="Simplified Arabic" w:hAnsi="Simplified Arabic" w:cs="Simplified Arabic"/>
                <w:color w:val="000000"/>
                <w:sz w:val="24"/>
                <w:szCs w:val="24"/>
                <w:rtl/>
              </w:rPr>
            </w:pPr>
            <w:r w:rsidRPr="007B57F1">
              <w:rPr>
                <w:rFonts w:ascii="Simplified Arabic" w:hAnsi="Simplified Arabic" w:cs="Simplified Arabic"/>
                <w:color w:val="000000"/>
                <w:sz w:val="24"/>
                <w:szCs w:val="24"/>
                <w:rtl/>
              </w:rPr>
              <w:t>//25،000،000//ل.ل لكل مجموعة أي //100،000،000//ل.ل للمج</w:t>
            </w:r>
            <w:r w:rsidR="007908B8">
              <w:rPr>
                <w:rFonts w:ascii="Simplified Arabic" w:hAnsi="Simplified Arabic" w:cs="Simplified Arabic" w:hint="cs"/>
                <w:color w:val="000000"/>
                <w:sz w:val="24"/>
                <w:szCs w:val="24"/>
                <w:rtl/>
              </w:rPr>
              <w:t>م</w:t>
            </w:r>
            <w:bookmarkStart w:id="0" w:name="_GoBack"/>
            <w:bookmarkEnd w:id="0"/>
            <w:r w:rsidRPr="007B57F1">
              <w:rPr>
                <w:rFonts w:ascii="Simplified Arabic" w:hAnsi="Simplified Arabic" w:cs="Simplified Arabic"/>
                <w:color w:val="000000"/>
                <w:sz w:val="24"/>
                <w:szCs w:val="24"/>
                <w:rtl/>
              </w:rPr>
              <w:t>وعات الأربعة</w:t>
            </w:r>
          </w:p>
        </w:tc>
      </w:tr>
      <w:tr w:rsidR="00027D3B" w:rsidRPr="00027D3B" w14:paraId="486C26AC" w14:textId="77777777" w:rsidTr="00027D3B">
        <w:trPr>
          <w:trHeight w:val="440"/>
        </w:trPr>
        <w:tc>
          <w:tcPr>
            <w:tcW w:w="2512" w:type="dxa"/>
            <w:tcBorders>
              <w:top w:val="dotted" w:sz="4" w:space="0" w:color="000000"/>
              <w:bottom w:val="single" w:sz="4" w:space="0" w:color="auto"/>
              <w:right w:val="single" w:sz="4" w:space="0" w:color="000000"/>
            </w:tcBorders>
            <w:vAlign w:val="center"/>
          </w:tcPr>
          <w:p w14:paraId="06EE6EDB"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041F8634" w14:textId="74546900" w:rsidR="00027D3B" w:rsidRPr="00027D3B" w:rsidRDefault="007B6BDC" w:rsidP="003D7F23">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3FFD626F" w:rsidR="007B6BDC" w:rsidRPr="00027D3B" w:rsidRDefault="007B6BDC" w:rsidP="007B57F1">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7B57F1">
              <w:rPr>
                <w:rFonts w:ascii="Simplified Arabic" w:hAnsi="Simplified Arabic" w:cs="Simplified Arabic" w:hint="cs"/>
                <w:color w:val="000000"/>
                <w:sz w:val="24"/>
                <w:szCs w:val="24"/>
                <w:rtl/>
              </w:rPr>
              <w:t>أربع</w:t>
            </w:r>
            <w:r w:rsidR="007975A7">
              <w:rPr>
                <w:rFonts w:ascii="Simplified Arabic" w:hAnsi="Simplified Arabic" w:cs="Simplified Arabic" w:hint="cs"/>
                <w:color w:val="000000"/>
                <w:sz w:val="24"/>
                <w:szCs w:val="24"/>
                <w:rtl/>
              </w:rPr>
              <w:t>اء</w:t>
            </w:r>
            <w:r w:rsidRPr="007B6BDC">
              <w:rPr>
                <w:rFonts w:ascii="Simplified Arabic" w:hAnsi="Simplified Arabic" w:cs="Simplified Arabic" w:hint="cs"/>
                <w:color w:val="000000"/>
                <w:sz w:val="24"/>
                <w:szCs w:val="24"/>
                <w:rtl/>
              </w:rPr>
              <w:t xml:space="preserve"> </w:t>
            </w:r>
            <w:r w:rsidR="007B57F1">
              <w:rPr>
                <w:rFonts w:ascii="Simplified Arabic" w:hAnsi="Simplified Arabic" w:cs="Simplified Arabic" w:hint="cs"/>
                <w:color w:val="000000"/>
                <w:sz w:val="24"/>
                <w:szCs w:val="24"/>
                <w:rtl/>
              </w:rPr>
              <w:t>08</w:t>
            </w:r>
            <w:r w:rsidRPr="007B6BDC">
              <w:rPr>
                <w:rFonts w:ascii="Simplified Arabic" w:hAnsi="Simplified Arabic" w:cs="Simplified Arabic" w:hint="cs"/>
                <w:color w:val="000000"/>
                <w:sz w:val="24"/>
                <w:szCs w:val="24"/>
                <w:rtl/>
              </w:rPr>
              <w:t>/</w:t>
            </w:r>
            <w:r w:rsidR="007B57F1">
              <w:rPr>
                <w:rFonts w:ascii="Simplified Arabic" w:hAnsi="Simplified Arabic" w:cs="Simplified Arabic" w:hint="cs"/>
                <w:color w:val="000000"/>
                <w:sz w:val="24"/>
                <w:szCs w:val="24"/>
                <w:rtl/>
              </w:rPr>
              <w:t>07</w:t>
            </w:r>
            <w:r w:rsidRPr="007B6BDC">
              <w:rPr>
                <w:rFonts w:ascii="Simplified Arabic" w:hAnsi="Simplified Arabic" w:cs="Simplified Arabic" w:hint="cs"/>
                <w:color w:val="000000"/>
                <w:sz w:val="24"/>
                <w:szCs w:val="24"/>
                <w:rtl/>
              </w:rPr>
              <w:t>/</w:t>
            </w:r>
            <w:r w:rsidR="007975A7">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357DFE9F" w:rsidR="007B6BDC" w:rsidRPr="00027D3B" w:rsidRDefault="007B57F1" w:rsidP="007B57F1">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الأربع</w:t>
            </w:r>
            <w:r w:rsidR="007975A7">
              <w:rPr>
                <w:rFonts w:ascii="Simplified Arabic" w:hAnsi="Simplified Arabic" w:cs="Simplified Arabic" w:hint="cs"/>
                <w:color w:val="000000"/>
                <w:sz w:val="24"/>
                <w:szCs w:val="24"/>
                <w:rtl/>
              </w:rPr>
              <w:t>اء</w:t>
            </w:r>
            <w:r w:rsidR="007B6BDC" w:rsidRPr="007B6BDC">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08</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07</w:t>
            </w:r>
            <w:r w:rsidR="007B6BDC" w:rsidRPr="007B6BDC">
              <w:rPr>
                <w:rFonts w:ascii="Simplified Arabic" w:hAnsi="Simplified Arabic" w:cs="Simplified Arabic"/>
                <w:color w:val="000000"/>
                <w:sz w:val="24"/>
                <w:szCs w:val="24"/>
                <w:rtl/>
              </w:rPr>
              <w:t>/</w:t>
            </w:r>
            <w:r w:rsidR="007975A7">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32737067" w:rsidR="007B6BDC" w:rsidRPr="00027D3B" w:rsidRDefault="007975A7" w:rsidP="003A68BD">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لم ي</w:t>
            </w:r>
            <w:r w:rsidR="007B6BDC" w:rsidRPr="007B6BDC">
              <w:rPr>
                <w:rFonts w:ascii="Simplified Arabic" w:hAnsi="Simplified Arabic" w:cs="Simplified Arabic" w:hint="cs"/>
                <w:color w:val="000000"/>
                <w:sz w:val="24"/>
                <w:szCs w:val="24"/>
                <w:rtl/>
              </w:rPr>
              <w:t>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3F7AB2">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3F7AB2">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354E5"/>
    <w:rsid w:val="001532FA"/>
    <w:rsid w:val="001556FE"/>
    <w:rsid w:val="0018466D"/>
    <w:rsid w:val="00184CFA"/>
    <w:rsid w:val="00191F1F"/>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A68BD"/>
    <w:rsid w:val="003D35EC"/>
    <w:rsid w:val="003E439E"/>
    <w:rsid w:val="003E594F"/>
    <w:rsid w:val="003F7AB2"/>
    <w:rsid w:val="00421177"/>
    <w:rsid w:val="00421691"/>
    <w:rsid w:val="00421EC2"/>
    <w:rsid w:val="00426B60"/>
    <w:rsid w:val="00493266"/>
    <w:rsid w:val="004A1335"/>
    <w:rsid w:val="004B062A"/>
    <w:rsid w:val="004C34D2"/>
    <w:rsid w:val="004E191E"/>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8B8"/>
    <w:rsid w:val="0079090C"/>
    <w:rsid w:val="00795C6E"/>
    <w:rsid w:val="007975A7"/>
    <w:rsid w:val="007B57F1"/>
    <w:rsid w:val="007B63D1"/>
    <w:rsid w:val="007B6BDC"/>
    <w:rsid w:val="007E2C66"/>
    <w:rsid w:val="007F36D7"/>
    <w:rsid w:val="007F6601"/>
    <w:rsid w:val="00801F32"/>
    <w:rsid w:val="0081782A"/>
    <w:rsid w:val="00823E2E"/>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49F7"/>
    <w:rsid w:val="00A172A5"/>
    <w:rsid w:val="00A23D1D"/>
    <w:rsid w:val="00A859BE"/>
    <w:rsid w:val="00A975FF"/>
    <w:rsid w:val="00AA2A6E"/>
    <w:rsid w:val="00AE0E36"/>
    <w:rsid w:val="00AE2B66"/>
    <w:rsid w:val="00AF0CB1"/>
    <w:rsid w:val="00B111F4"/>
    <w:rsid w:val="00B235FD"/>
    <w:rsid w:val="00B23D2D"/>
    <w:rsid w:val="00B87052"/>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190D"/>
    <w:rsid w:val="00CB7C89"/>
    <w:rsid w:val="00CC39DC"/>
    <w:rsid w:val="00CE72B8"/>
    <w:rsid w:val="00CF4D51"/>
    <w:rsid w:val="00D15312"/>
    <w:rsid w:val="00D40723"/>
    <w:rsid w:val="00D7469C"/>
    <w:rsid w:val="00D77AA6"/>
    <w:rsid w:val="00D93ABD"/>
    <w:rsid w:val="00DD2DC2"/>
    <w:rsid w:val="00DE21A8"/>
    <w:rsid w:val="00E30E9C"/>
    <w:rsid w:val="00E35D1F"/>
    <w:rsid w:val="00E36313"/>
    <w:rsid w:val="00E4646C"/>
    <w:rsid w:val="00E56044"/>
    <w:rsid w:val="00E60DD0"/>
    <w:rsid w:val="00EB30B4"/>
    <w:rsid w:val="00EC214E"/>
    <w:rsid w:val="00EE738A"/>
    <w:rsid w:val="00F04DAC"/>
    <w:rsid w:val="00F122B8"/>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28</cp:revision>
  <cp:lastPrinted>2026-05-19T07:09:00Z</cp:lastPrinted>
  <dcterms:created xsi:type="dcterms:W3CDTF">2024-08-14T07:54:00Z</dcterms:created>
  <dcterms:modified xsi:type="dcterms:W3CDTF">2026-05-19T07:11:00Z</dcterms:modified>
</cp:coreProperties>
</file>