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092" w:rsidRPr="00874092" w:rsidRDefault="00874092" w:rsidP="00874092">
      <w:pPr>
        <w:spacing w:before="120" w:after="120"/>
        <w:jc w:val="center"/>
        <w:rPr>
          <w:rFonts w:asciiTheme="minorBidi" w:eastAsiaTheme="majorEastAsia" w:hAnsiTheme="minorBidi" w:cstheme="minorBidi"/>
          <w:b/>
          <w:bCs/>
          <w:smallCaps/>
          <w:color w:val="000000" w:themeColor="text1"/>
          <w:kern w:val="32"/>
          <w:sz w:val="36"/>
          <w:szCs w:val="36"/>
          <w:u w:val="single"/>
        </w:rPr>
      </w:pPr>
      <w:bookmarkStart w:id="0" w:name="_Toc145334408"/>
      <w:bookmarkStart w:id="1" w:name="_Toc53420394"/>
      <w:r w:rsidRPr="00874092">
        <w:rPr>
          <w:rFonts w:asciiTheme="minorBidi" w:eastAsiaTheme="majorEastAsia" w:hAnsiTheme="minorBidi" w:cstheme="minorBidi"/>
          <w:b/>
          <w:bCs/>
          <w:smallCaps/>
          <w:color w:val="000000" w:themeColor="text1"/>
          <w:kern w:val="32"/>
          <w:sz w:val="36"/>
          <w:szCs w:val="36"/>
          <w:u w:val="single"/>
        </w:rPr>
        <w:t>Appendix 7</w:t>
      </w:r>
    </w:p>
    <w:p w:rsidR="00AC79E5" w:rsidRDefault="00AC79E5" w:rsidP="00AC79E5">
      <w:pPr>
        <w:pStyle w:val="Heading1"/>
        <w:numPr>
          <w:ilvl w:val="0"/>
          <w:numId w:val="3"/>
        </w:numPr>
        <w:spacing w:before="120" w:after="120"/>
        <w:rPr>
          <w:b/>
          <w:bCs/>
          <w:color w:val="000000" w:themeColor="text1"/>
          <w:u w:val="single"/>
        </w:rPr>
      </w:pPr>
      <w:r w:rsidRPr="00AC79E5">
        <w:rPr>
          <w:b/>
          <w:bCs/>
          <w:color w:val="000000" w:themeColor="text1"/>
          <w:u w:val="single"/>
        </w:rPr>
        <w:t xml:space="preserve">GENERAL RFP </w:t>
      </w:r>
      <w:bookmarkEnd w:id="0"/>
      <w:bookmarkEnd w:id="1"/>
      <w:r>
        <w:rPr>
          <w:b/>
          <w:bCs/>
          <w:color w:val="000000" w:themeColor="text1"/>
          <w:u w:val="single"/>
        </w:rPr>
        <w:t>KILLING FACTORS:</w:t>
      </w:r>
    </w:p>
    <w:p w:rsidR="00AC79E5" w:rsidRPr="00AC79E5" w:rsidRDefault="00AC79E5" w:rsidP="00AC79E5"/>
    <w:p w:rsidR="00AC79E5" w:rsidRDefault="00AC79E5" w:rsidP="00AC79E5">
      <w:pPr>
        <w:spacing w:after="120" w:line="276" w:lineRule="auto"/>
        <w:ind w:left="432"/>
        <w:jc w:val="both"/>
        <w:rPr>
          <w:rFonts w:asciiTheme="minorBidi" w:eastAsiaTheme="minorHAnsi" w:hAnsiTheme="minorBidi" w:cstheme="minorBidi"/>
          <w:color w:val="000000" w:themeColor="text1"/>
          <w:sz w:val="24"/>
          <w:szCs w:val="24"/>
        </w:rPr>
      </w:pPr>
      <w:r>
        <w:rPr>
          <w:rFonts w:asciiTheme="minorBidi" w:eastAsiaTheme="minorHAnsi" w:hAnsiTheme="minorBidi" w:cstheme="minorBidi"/>
          <w:color w:val="000000" w:themeColor="text1"/>
          <w:sz w:val="24"/>
          <w:szCs w:val="24"/>
        </w:rPr>
        <w:t>Bidder who fail to comply with the below requirements will be automatically excluded and disqual</w:t>
      </w:r>
      <w:bookmarkStart w:id="2" w:name="_GoBack"/>
      <w:bookmarkEnd w:id="2"/>
      <w:r>
        <w:rPr>
          <w:rFonts w:asciiTheme="minorBidi" w:eastAsiaTheme="minorHAnsi" w:hAnsiTheme="minorBidi" w:cstheme="minorBidi"/>
          <w:color w:val="000000" w:themeColor="text1"/>
          <w:sz w:val="24"/>
          <w:szCs w:val="24"/>
        </w:rPr>
        <w:t>ified from the tender:</w:t>
      </w:r>
    </w:p>
    <w:p w:rsidR="00AC79E5" w:rsidRDefault="00AC79E5" w:rsidP="00AC79E5">
      <w:pPr>
        <w:pStyle w:val="ListParagraph"/>
        <w:numPr>
          <w:ilvl w:val="0"/>
          <w:numId w:val="2"/>
        </w:numPr>
        <w:spacing w:line="360" w:lineRule="auto"/>
        <w:jc w:val="both"/>
        <w:rPr>
          <w:rFonts w:asciiTheme="minorBidi" w:hAnsiTheme="minorBidi" w:cstheme="minorBidi"/>
          <w:color w:val="000000" w:themeColor="text1"/>
        </w:rPr>
      </w:pPr>
      <w:r>
        <w:rPr>
          <w:rFonts w:asciiTheme="minorBidi" w:hAnsiTheme="minorBidi" w:cstheme="minorBidi"/>
          <w:color w:val="000000" w:themeColor="text1"/>
        </w:rPr>
        <w:t>Bidder shall provide minimum 5 references with similar deployments.</w:t>
      </w:r>
    </w:p>
    <w:p w:rsidR="00AC79E5" w:rsidRDefault="00AC79E5" w:rsidP="00AC79E5">
      <w:pPr>
        <w:pStyle w:val="ListParagraph"/>
        <w:numPr>
          <w:ilvl w:val="0"/>
          <w:numId w:val="2"/>
        </w:numPr>
        <w:spacing w:line="360" w:lineRule="auto"/>
        <w:jc w:val="both"/>
        <w:rPr>
          <w:rFonts w:asciiTheme="minorBidi" w:hAnsiTheme="minorBidi" w:cstheme="minorBidi"/>
          <w:color w:val="000000" w:themeColor="text1"/>
        </w:rPr>
      </w:pPr>
      <w:r>
        <w:rPr>
          <w:rFonts w:asciiTheme="minorBidi" w:hAnsiTheme="minorBidi" w:cstheme="minorBidi"/>
          <w:color w:val="000000" w:themeColor="text1"/>
        </w:rPr>
        <w:t>Bidder shall have minimum 5 years of experience in the related field.</w:t>
      </w:r>
    </w:p>
    <w:p w:rsidR="00AC79E5" w:rsidRDefault="00AC79E5" w:rsidP="00AC79E5">
      <w:pPr>
        <w:pStyle w:val="ListParagraph"/>
        <w:numPr>
          <w:ilvl w:val="0"/>
          <w:numId w:val="2"/>
        </w:numPr>
        <w:spacing w:line="360" w:lineRule="auto"/>
        <w:jc w:val="both"/>
        <w:rPr>
          <w:rFonts w:asciiTheme="minorBidi" w:hAnsiTheme="minorBidi" w:cstheme="minorBidi"/>
          <w:color w:val="000000" w:themeColor="text1"/>
        </w:rPr>
      </w:pPr>
      <w:r>
        <w:rPr>
          <w:rFonts w:asciiTheme="minorBidi" w:hAnsiTheme="minorBidi" w:cstheme="minorBidi"/>
          <w:color w:val="000000" w:themeColor="text1"/>
        </w:rPr>
        <w:t>The solution's HW requirements shall be compatible with our virtual environment and its capacity</w:t>
      </w:r>
    </w:p>
    <w:p w:rsidR="00AC79E5" w:rsidRPr="003D3009" w:rsidRDefault="00AC79E5" w:rsidP="00874092">
      <w:pPr>
        <w:pStyle w:val="ListParagraph"/>
        <w:numPr>
          <w:ilvl w:val="0"/>
          <w:numId w:val="2"/>
        </w:numPr>
        <w:spacing w:line="360" w:lineRule="auto"/>
        <w:jc w:val="both"/>
        <w:rPr>
          <w:rFonts w:asciiTheme="minorBidi" w:hAnsiTheme="minorBidi" w:cstheme="minorBidi"/>
          <w:color w:val="000000" w:themeColor="text1"/>
        </w:rPr>
      </w:pPr>
      <w:r w:rsidRPr="003D3009">
        <w:rPr>
          <w:rFonts w:asciiTheme="minorBidi" w:hAnsiTheme="minorBidi" w:cstheme="minorBidi"/>
          <w:color w:val="000000" w:themeColor="text1"/>
        </w:rPr>
        <w:t xml:space="preserve">Full compliance to the technical “killing factors”, detailed in Appendix </w:t>
      </w:r>
      <w:r w:rsidR="00874092" w:rsidRPr="003D3009">
        <w:rPr>
          <w:rFonts w:asciiTheme="minorBidi" w:hAnsiTheme="minorBidi" w:cstheme="minorBidi"/>
          <w:color w:val="000000" w:themeColor="text1"/>
        </w:rPr>
        <w:t>9</w:t>
      </w:r>
      <w:r w:rsidRPr="003D3009">
        <w:rPr>
          <w:rFonts w:asciiTheme="minorBidi" w:hAnsiTheme="minorBidi" w:cstheme="minorBidi"/>
          <w:color w:val="000000" w:themeColor="text1"/>
        </w:rPr>
        <w:t>.</w:t>
      </w:r>
    </w:p>
    <w:p w:rsidR="00AC79E5" w:rsidRDefault="00AC79E5" w:rsidP="00AC79E5">
      <w:pPr>
        <w:pStyle w:val="ListParagraph"/>
        <w:numPr>
          <w:ilvl w:val="0"/>
          <w:numId w:val="2"/>
        </w:numPr>
        <w:spacing w:after="120" w:line="276" w:lineRule="auto"/>
        <w:jc w:val="both"/>
        <w:rPr>
          <w:rFonts w:asciiTheme="minorBidi" w:hAnsiTheme="minorBidi" w:cstheme="minorBidi"/>
          <w:color w:val="000000" w:themeColor="text1"/>
        </w:rPr>
      </w:pPr>
      <w:r>
        <w:rPr>
          <w:rFonts w:asciiTheme="minorBidi" w:hAnsiTheme="minorBidi" w:cstheme="minorBidi"/>
          <w:color w:val="000000" w:themeColor="text1"/>
        </w:rPr>
        <w:t>The clearance obtained from the Ministry of Trade and Commerce/office of boycott of Israel (</w:t>
      </w:r>
      <w:r>
        <w:rPr>
          <w:rFonts w:asciiTheme="minorBidi" w:hAnsiTheme="minorBidi" w:cstheme="minorBidi" w:hint="cs"/>
          <w:color w:val="000000" w:themeColor="text1"/>
          <w:rtl/>
        </w:rPr>
        <w:t>إفادة عن وضع شركة أجنبية و إستناداً إلى أحكام قانون مقاطعة إسرائيل الصادر بتاريخ 23/6/1955)</w:t>
      </w:r>
    </w:p>
    <w:p w:rsidR="00AC79E5" w:rsidRDefault="00AC79E5" w:rsidP="00AC79E5">
      <w:pPr>
        <w:pStyle w:val="ListParagraph"/>
        <w:numPr>
          <w:ilvl w:val="0"/>
          <w:numId w:val="2"/>
        </w:numPr>
        <w:spacing w:after="120" w:line="276" w:lineRule="auto"/>
        <w:jc w:val="both"/>
        <w:rPr>
          <w:rFonts w:asciiTheme="minorBidi" w:hAnsiTheme="minorBidi" w:cstheme="minorBidi"/>
          <w:color w:val="000000" w:themeColor="text1"/>
        </w:rPr>
      </w:pPr>
      <w:r>
        <w:rPr>
          <w:rFonts w:asciiTheme="minorBidi" w:hAnsiTheme="minorBidi" w:cstheme="minorBidi"/>
          <w:color w:val="000000" w:themeColor="text1"/>
        </w:rPr>
        <w:t>Bid Bond in the sealed technical envelope</w:t>
      </w:r>
    </w:p>
    <w:p w:rsidR="00AC79E5" w:rsidRDefault="00AC79E5" w:rsidP="00AC79E5">
      <w:pPr>
        <w:pStyle w:val="ListParagraph"/>
        <w:numPr>
          <w:ilvl w:val="0"/>
          <w:numId w:val="2"/>
        </w:numPr>
        <w:spacing w:after="120"/>
        <w:jc w:val="both"/>
        <w:rPr>
          <w:rFonts w:asciiTheme="minorBidi" w:hAnsiTheme="minorBidi" w:cstheme="minorBidi"/>
          <w:color w:val="000000" w:themeColor="text1"/>
        </w:rPr>
      </w:pPr>
      <w:r>
        <w:rPr>
          <w:rFonts w:asciiTheme="minorBidi" w:hAnsiTheme="minorBidi" w:cstheme="minorBidi"/>
          <w:color w:val="000000" w:themeColor="text1"/>
        </w:rPr>
        <w:t>Any figures and/or price indicators emanating from the Technical Offer will lead into immediate disqualification of the related Bidder from the bid.</w:t>
      </w:r>
    </w:p>
    <w:p w:rsidR="00AC79E5" w:rsidRDefault="00AC79E5" w:rsidP="00AC79E5">
      <w:pPr>
        <w:pStyle w:val="ListParagraph"/>
        <w:numPr>
          <w:ilvl w:val="0"/>
          <w:numId w:val="2"/>
        </w:numPr>
        <w:spacing w:before="360" w:after="120"/>
        <w:jc w:val="both"/>
        <w:rPr>
          <w:rFonts w:asciiTheme="minorBidi" w:hAnsiTheme="minorBidi" w:cstheme="minorBidi"/>
          <w:color w:val="000000" w:themeColor="text1"/>
        </w:rPr>
      </w:pPr>
      <w:r>
        <w:rPr>
          <w:rFonts w:asciiTheme="minorBidi" w:hAnsiTheme="minorBidi" w:cstheme="minorBidi"/>
          <w:color w:val="000000" w:themeColor="text1"/>
        </w:rPr>
        <w:t>Any company in which a shareholder/partner or manager or Board member has demonstrated any hostility or disrespect to the company or any of its managers or staff under the form of slandering or under any other form, such company shall not be accepted to participate in the Tender. If such hostility or disrespect is demonstrated after the company has submitted its proposal(s), then the company in question shall be disqualified. Non-acceptance or disqualification for the above reasons shall be without any liability to MIC2 and without any judicial action being required.</w:t>
      </w:r>
    </w:p>
    <w:p w:rsidR="00AC79E5" w:rsidRDefault="00AC79E5" w:rsidP="00AC79E5">
      <w:pPr>
        <w:pStyle w:val="ListParagraph"/>
        <w:numPr>
          <w:ilvl w:val="0"/>
          <w:numId w:val="2"/>
        </w:numPr>
        <w:spacing w:before="360" w:after="120"/>
        <w:jc w:val="both"/>
        <w:rPr>
          <w:rFonts w:asciiTheme="minorBidi" w:hAnsiTheme="minorBidi" w:cstheme="minorBidi"/>
          <w:bCs/>
          <w:color w:val="000000" w:themeColor="text1"/>
        </w:rPr>
      </w:pPr>
      <w:r>
        <w:rPr>
          <w:bCs/>
          <w:color w:val="000000" w:themeColor="text1"/>
        </w:rPr>
        <w:t>Non-acceptance or disqualification for the above reasons shall be without any liability on MIC2 and without any judicial action being required.</w:t>
      </w:r>
    </w:p>
    <w:p w:rsidR="00E70FC1" w:rsidRDefault="00E70FC1"/>
    <w:p w:rsidR="00382D16" w:rsidRDefault="00382D16">
      <w:pPr>
        <w:spacing w:after="160" w:line="259" w:lineRule="auto"/>
      </w:pPr>
      <w:r>
        <w:br w:type="page"/>
      </w:r>
    </w:p>
    <w:p w:rsidR="00AC79E5" w:rsidRDefault="00AC79E5" w:rsidP="00AC79E5">
      <w:pPr>
        <w:pStyle w:val="Heading1"/>
        <w:numPr>
          <w:ilvl w:val="0"/>
          <w:numId w:val="3"/>
        </w:numPr>
        <w:spacing w:before="120" w:after="120"/>
        <w:rPr>
          <w:b/>
          <w:bCs/>
          <w:color w:val="000000" w:themeColor="text1"/>
          <w:u w:val="single"/>
        </w:rPr>
      </w:pPr>
      <w:r>
        <w:rPr>
          <w:b/>
          <w:bCs/>
          <w:color w:val="000000" w:themeColor="text1"/>
          <w:u w:val="single"/>
        </w:rPr>
        <w:lastRenderedPageBreak/>
        <w:t>TECHNICAL</w:t>
      </w:r>
      <w:r w:rsidRPr="00AC79E5">
        <w:rPr>
          <w:b/>
          <w:bCs/>
          <w:color w:val="000000" w:themeColor="text1"/>
          <w:u w:val="single"/>
        </w:rPr>
        <w:t xml:space="preserve"> </w:t>
      </w:r>
      <w:r>
        <w:rPr>
          <w:b/>
          <w:bCs/>
          <w:color w:val="000000" w:themeColor="text1"/>
          <w:u w:val="single"/>
        </w:rPr>
        <w:t>KILLING FACTORS:</w:t>
      </w:r>
    </w:p>
    <w:p w:rsidR="005E7A31" w:rsidRPr="005E7A31" w:rsidRDefault="005E7A31" w:rsidP="005E7A31"/>
    <w:tbl>
      <w:tblPr>
        <w:tblStyle w:val="TableGrid"/>
        <w:tblW w:w="0" w:type="auto"/>
        <w:tblLook w:val="04A0" w:firstRow="1" w:lastRow="0" w:firstColumn="1" w:lastColumn="0" w:noHBand="0" w:noVBand="1"/>
      </w:tblPr>
      <w:tblGrid>
        <w:gridCol w:w="3671"/>
        <w:gridCol w:w="889"/>
        <w:gridCol w:w="889"/>
        <w:gridCol w:w="3901"/>
      </w:tblGrid>
      <w:tr w:rsidR="005E7A31" w:rsidRPr="005E7A31" w:rsidTr="005E7A31">
        <w:trPr>
          <w:trHeight w:val="315"/>
        </w:trPr>
        <w:tc>
          <w:tcPr>
            <w:tcW w:w="3760" w:type="dxa"/>
            <w:hideMark/>
          </w:tcPr>
          <w:p w:rsidR="005E7A31" w:rsidRPr="005E7A31" w:rsidRDefault="005E7A31" w:rsidP="005E7A31">
            <w:pPr>
              <w:rPr>
                <w:b/>
                <w:bCs/>
              </w:rPr>
            </w:pPr>
            <w:r w:rsidRPr="005E7A31">
              <w:rPr>
                <w:b/>
                <w:bCs/>
              </w:rPr>
              <w:t xml:space="preserve">SIGNALING PART </w:t>
            </w:r>
          </w:p>
        </w:tc>
        <w:tc>
          <w:tcPr>
            <w:tcW w:w="920" w:type="dxa"/>
            <w:hideMark/>
          </w:tcPr>
          <w:p w:rsidR="005E7A31" w:rsidRPr="005E7A31" w:rsidRDefault="005E7A31" w:rsidP="005E7A31">
            <w:pPr>
              <w:rPr>
                <w:b/>
                <w:bCs/>
              </w:rPr>
            </w:pPr>
          </w:p>
        </w:tc>
        <w:tc>
          <w:tcPr>
            <w:tcW w:w="920" w:type="dxa"/>
            <w:hideMark/>
          </w:tcPr>
          <w:p w:rsidR="005E7A31" w:rsidRPr="005E7A31" w:rsidRDefault="005E7A31" w:rsidP="005E7A31"/>
        </w:tc>
        <w:tc>
          <w:tcPr>
            <w:tcW w:w="3980" w:type="dxa"/>
            <w:hideMark/>
          </w:tcPr>
          <w:p w:rsidR="005E7A31" w:rsidRPr="005E7A31" w:rsidRDefault="005E7A31" w:rsidP="005E7A31">
            <w:pPr>
              <w:rPr>
                <w:b/>
                <w:bCs/>
              </w:rPr>
            </w:pPr>
            <w:r w:rsidRPr="005E7A31">
              <w:rPr>
                <w:b/>
                <w:bCs/>
              </w:rPr>
              <w:t>GRX/IPX PART</w:t>
            </w:r>
          </w:p>
        </w:tc>
      </w:tr>
      <w:tr w:rsidR="005E7A31" w:rsidRPr="005E7A31" w:rsidTr="005E7A31">
        <w:trPr>
          <w:trHeight w:val="300"/>
        </w:trPr>
        <w:tc>
          <w:tcPr>
            <w:tcW w:w="3760" w:type="dxa"/>
            <w:hideMark/>
          </w:tcPr>
          <w:p w:rsidR="005E7A31" w:rsidRPr="005E7A31" w:rsidRDefault="005E7A31" w:rsidP="005E7A31">
            <w:pPr>
              <w:rPr>
                <w:b/>
                <w:bCs/>
              </w:rPr>
            </w:pPr>
            <w:r w:rsidRPr="005E7A31">
              <w:rPr>
                <w:b/>
                <w:bCs/>
              </w:rPr>
              <w:t>Description</w:t>
            </w:r>
          </w:p>
        </w:tc>
        <w:tc>
          <w:tcPr>
            <w:tcW w:w="920" w:type="dxa"/>
            <w:hideMark/>
          </w:tcPr>
          <w:p w:rsidR="005E7A31" w:rsidRPr="005E7A31" w:rsidRDefault="005E7A31" w:rsidP="005E7A31">
            <w:pPr>
              <w:rPr>
                <w:b/>
                <w:bCs/>
              </w:rPr>
            </w:pPr>
          </w:p>
        </w:tc>
        <w:tc>
          <w:tcPr>
            <w:tcW w:w="920" w:type="dxa"/>
            <w:hideMark/>
          </w:tcPr>
          <w:p w:rsidR="005E7A31" w:rsidRPr="005E7A31" w:rsidRDefault="005E7A31" w:rsidP="005E7A31">
            <w:pPr>
              <w:rPr>
                <w:b/>
                <w:bCs/>
              </w:rPr>
            </w:pPr>
          </w:p>
        </w:tc>
        <w:tc>
          <w:tcPr>
            <w:tcW w:w="3980" w:type="dxa"/>
            <w:hideMark/>
          </w:tcPr>
          <w:p w:rsidR="005E7A31" w:rsidRPr="005E7A31" w:rsidRDefault="005E7A31" w:rsidP="005E7A31">
            <w:pPr>
              <w:rPr>
                <w:b/>
                <w:bCs/>
              </w:rPr>
            </w:pPr>
            <w:r w:rsidRPr="005E7A31">
              <w:rPr>
                <w:b/>
                <w:bCs/>
              </w:rPr>
              <w:t>Description</w:t>
            </w:r>
          </w:p>
        </w:tc>
      </w:tr>
      <w:tr w:rsidR="005E7A31" w:rsidRPr="005E7A31" w:rsidTr="005E7A31">
        <w:trPr>
          <w:trHeight w:val="1500"/>
        </w:trPr>
        <w:tc>
          <w:tcPr>
            <w:tcW w:w="3760" w:type="dxa"/>
            <w:hideMark/>
          </w:tcPr>
          <w:p w:rsidR="005E7A31" w:rsidRPr="005E7A31" w:rsidRDefault="005E7A31" w:rsidP="005E7A31">
            <w:r w:rsidRPr="005E7A31">
              <w:t>Redundancy needed (redundancy required on physical level, node level, route level, carriers/sub-marine, cables providers level and connections/NEs level)</w:t>
            </w:r>
          </w:p>
        </w:tc>
        <w:tc>
          <w:tcPr>
            <w:tcW w:w="920" w:type="dxa"/>
            <w:hideMark/>
          </w:tcPr>
          <w:p w:rsidR="005E7A31" w:rsidRPr="005E7A31" w:rsidRDefault="005E7A31" w:rsidP="005E7A31"/>
        </w:tc>
        <w:tc>
          <w:tcPr>
            <w:tcW w:w="920" w:type="dxa"/>
            <w:hideMark/>
          </w:tcPr>
          <w:p w:rsidR="005E7A31" w:rsidRPr="005E7A31" w:rsidRDefault="005E7A31" w:rsidP="005E7A31"/>
        </w:tc>
        <w:tc>
          <w:tcPr>
            <w:tcW w:w="3980" w:type="dxa"/>
            <w:hideMark/>
          </w:tcPr>
          <w:p w:rsidR="005E7A31" w:rsidRPr="005E7A31" w:rsidRDefault="005E7A31" w:rsidP="005E7A31">
            <w:r w:rsidRPr="005E7A31">
              <w:t>Redundancy needed (redundancy required on physical level, node level, route level, carriers/sub-marine, cables providers level and connections/NEs level)</w:t>
            </w:r>
          </w:p>
        </w:tc>
      </w:tr>
      <w:tr w:rsidR="005E7A31" w:rsidRPr="005E7A31" w:rsidTr="005E7A31">
        <w:trPr>
          <w:trHeight w:val="1500"/>
        </w:trPr>
        <w:tc>
          <w:tcPr>
            <w:tcW w:w="3760" w:type="dxa"/>
            <w:hideMark/>
          </w:tcPr>
          <w:p w:rsidR="005E7A31" w:rsidRPr="005E7A31" w:rsidRDefault="005E7A31" w:rsidP="005E7A31">
            <w:r w:rsidRPr="005E7A31">
              <w:t>Services needed (inbound/outbound roaming, LU, international MO/MT SMS, ANSI, translation, Camel PH1</w:t>
            </w:r>
            <w:proofErr w:type="gramStart"/>
            <w:r w:rsidRPr="005E7A31">
              <w:t>..</w:t>
            </w:r>
            <w:proofErr w:type="gramEnd"/>
            <w:r w:rsidRPr="005E7A31">
              <w:t>3, data attach/</w:t>
            </w:r>
            <w:proofErr w:type="spellStart"/>
            <w:r w:rsidRPr="005E7A31">
              <w:t>pdp</w:t>
            </w:r>
            <w:proofErr w:type="spellEnd"/>
            <w:r w:rsidRPr="005E7A31">
              <w:t>, IMS/</w:t>
            </w:r>
            <w:proofErr w:type="spellStart"/>
            <w:r w:rsidRPr="005E7A31">
              <w:t>VoLTE</w:t>
            </w:r>
            <w:proofErr w:type="spellEnd"/>
            <w:r w:rsidRPr="005E7A31">
              <w:t xml:space="preserve">/5G roaming readiness </w:t>
            </w:r>
          </w:p>
        </w:tc>
        <w:tc>
          <w:tcPr>
            <w:tcW w:w="920" w:type="dxa"/>
            <w:hideMark/>
          </w:tcPr>
          <w:p w:rsidR="005E7A31" w:rsidRPr="005E7A31" w:rsidRDefault="005E7A31" w:rsidP="005E7A31"/>
        </w:tc>
        <w:tc>
          <w:tcPr>
            <w:tcW w:w="920" w:type="dxa"/>
            <w:hideMark/>
          </w:tcPr>
          <w:p w:rsidR="005E7A31" w:rsidRPr="005E7A31" w:rsidRDefault="005E7A31" w:rsidP="005E7A31"/>
        </w:tc>
        <w:tc>
          <w:tcPr>
            <w:tcW w:w="3980" w:type="dxa"/>
            <w:hideMark/>
          </w:tcPr>
          <w:p w:rsidR="005E7A31" w:rsidRPr="005E7A31" w:rsidRDefault="005E7A31" w:rsidP="005E7A31">
            <w:r w:rsidRPr="005E7A31">
              <w:t>Services needed (inbound/outbound data roaming over 2G/3G/4G, data attach/</w:t>
            </w:r>
            <w:proofErr w:type="spellStart"/>
            <w:r w:rsidRPr="005E7A31">
              <w:t>pdp</w:t>
            </w:r>
            <w:proofErr w:type="spellEnd"/>
            <w:r w:rsidRPr="005E7A31">
              <w:t>, LTE roaming, IMS/</w:t>
            </w:r>
            <w:proofErr w:type="spellStart"/>
            <w:r w:rsidRPr="005E7A31">
              <w:t>VoLTE</w:t>
            </w:r>
            <w:proofErr w:type="spellEnd"/>
            <w:r w:rsidRPr="005E7A31">
              <w:t>/5G roaming readiness)</w:t>
            </w:r>
          </w:p>
        </w:tc>
      </w:tr>
      <w:tr w:rsidR="005E7A31" w:rsidRPr="005E7A31" w:rsidTr="005E7A31">
        <w:trPr>
          <w:trHeight w:val="900"/>
        </w:trPr>
        <w:tc>
          <w:tcPr>
            <w:tcW w:w="3760" w:type="dxa"/>
            <w:hideMark/>
          </w:tcPr>
          <w:p w:rsidR="005E7A31" w:rsidRPr="005E7A31" w:rsidRDefault="005E7A31" w:rsidP="005E7A31">
            <w:r w:rsidRPr="005E7A31">
              <w:t xml:space="preserve">Supplier should be already providing these services for at least 10% of the global operators </w:t>
            </w:r>
          </w:p>
        </w:tc>
        <w:tc>
          <w:tcPr>
            <w:tcW w:w="920" w:type="dxa"/>
            <w:hideMark/>
          </w:tcPr>
          <w:p w:rsidR="005E7A31" w:rsidRPr="005E7A31" w:rsidRDefault="005E7A31" w:rsidP="005E7A31"/>
        </w:tc>
        <w:tc>
          <w:tcPr>
            <w:tcW w:w="920" w:type="dxa"/>
            <w:hideMark/>
          </w:tcPr>
          <w:p w:rsidR="005E7A31" w:rsidRPr="005E7A31" w:rsidRDefault="005E7A31" w:rsidP="005E7A31"/>
        </w:tc>
        <w:tc>
          <w:tcPr>
            <w:tcW w:w="3980" w:type="dxa"/>
            <w:hideMark/>
          </w:tcPr>
          <w:p w:rsidR="005E7A31" w:rsidRPr="005E7A31" w:rsidRDefault="005E7A31" w:rsidP="005E7A31">
            <w:r w:rsidRPr="005E7A31">
              <w:t xml:space="preserve">Supplier should be already providing these services for at least 10% of the global operators </w:t>
            </w:r>
          </w:p>
        </w:tc>
      </w:tr>
      <w:tr w:rsidR="005E7A31" w:rsidRPr="005E7A31" w:rsidTr="005E7A31">
        <w:trPr>
          <w:trHeight w:val="3000"/>
        </w:trPr>
        <w:tc>
          <w:tcPr>
            <w:tcW w:w="3760" w:type="dxa"/>
            <w:hideMark/>
          </w:tcPr>
          <w:p w:rsidR="005E7A31" w:rsidRPr="005E7A31" w:rsidRDefault="005E7A31" w:rsidP="005E7A31">
            <w:r w:rsidRPr="005E7A31">
              <w:t>Back to back connectivity and services needed between the new provider and other providers to be used to route our traffic upon special agreements or routing requirements by different operators/groups or upon outages ensuring complete coverage of such operators requirements and preventing traffic interruptions upon outages</w:t>
            </w:r>
          </w:p>
        </w:tc>
        <w:tc>
          <w:tcPr>
            <w:tcW w:w="920" w:type="dxa"/>
            <w:hideMark/>
          </w:tcPr>
          <w:p w:rsidR="005E7A31" w:rsidRPr="005E7A31" w:rsidRDefault="005E7A31" w:rsidP="005E7A31"/>
        </w:tc>
        <w:tc>
          <w:tcPr>
            <w:tcW w:w="920" w:type="dxa"/>
            <w:hideMark/>
          </w:tcPr>
          <w:p w:rsidR="005E7A31" w:rsidRPr="005E7A31" w:rsidRDefault="005E7A31" w:rsidP="005E7A31"/>
        </w:tc>
        <w:tc>
          <w:tcPr>
            <w:tcW w:w="3980" w:type="dxa"/>
            <w:hideMark/>
          </w:tcPr>
          <w:p w:rsidR="005E7A31" w:rsidRPr="005E7A31" w:rsidRDefault="005E7A31" w:rsidP="005E7A31">
            <w:r w:rsidRPr="005E7A31">
              <w:t>Back to back connectivity and services needed between the new provider and other providers to be used to route our traffic upon special agreements or routing requirements by different operators/groups or upon outages ensuring complete coverage of such operators requirements and preventing traffic interruptions upon outages</w:t>
            </w:r>
          </w:p>
        </w:tc>
      </w:tr>
      <w:tr w:rsidR="005E7A31" w:rsidRPr="005E7A31" w:rsidTr="005E7A31">
        <w:trPr>
          <w:trHeight w:val="1200"/>
        </w:trPr>
        <w:tc>
          <w:tcPr>
            <w:tcW w:w="3760" w:type="dxa"/>
            <w:hideMark/>
          </w:tcPr>
          <w:p w:rsidR="005E7A31" w:rsidRPr="005E7A31" w:rsidRDefault="005E7A31" w:rsidP="005E7A31">
            <w:r w:rsidRPr="005E7A31">
              <w:t>Full coverage and penetration among operators (more than 90% of the operators and all mic2 top 30 operators)</w:t>
            </w:r>
          </w:p>
        </w:tc>
        <w:tc>
          <w:tcPr>
            <w:tcW w:w="920" w:type="dxa"/>
            <w:hideMark/>
          </w:tcPr>
          <w:p w:rsidR="005E7A31" w:rsidRPr="005E7A31" w:rsidRDefault="005E7A31" w:rsidP="005E7A31"/>
        </w:tc>
        <w:tc>
          <w:tcPr>
            <w:tcW w:w="920" w:type="dxa"/>
            <w:hideMark/>
          </w:tcPr>
          <w:p w:rsidR="005E7A31" w:rsidRPr="005E7A31" w:rsidRDefault="005E7A31" w:rsidP="005E7A31"/>
        </w:tc>
        <w:tc>
          <w:tcPr>
            <w:tcW w:w="3980" w:type="dxa"/>
            <w:hideMark/>
          </w:tcPr>
          <w:p w:rsidR="005E7A31" w:rsidRPr="005E7A31" w:rsidRDefault="005E7A31" w:rsidP="005E7A31">
            <w:r w:rsidRPr="005E7A31">
              <w:t>Full coverage and penetration among operators (more than 90% of the operators and all mic2 top 30 operators)</w:t>
            </w:r>
          </w:p>
        </w:tc>
      </w:tr>
      <w:tr w:rsidR="005E7A31" w:rsidRPr="005E7A31" w:rsidTr="005E7A31">
        <w:trPr>
          <w:trHeight w:val="600"/>
        </w:trPr>
        <w:tc>
          <w:tcPr>
            <w:tcW w:w="3760" w:type="dxa"/>
            <w:hideMark/>
          </w:tcPr>
          <w:p w:rsidR="005E7A31" w:rsidRPr="005E7A31" w:rsidRDefault="005E7A31" w:rsidP="005E7A31">
            <w:r w:rsidRPr="005E7A31">
              <w:t xml:space="preserve">99.995% availability of the total provided capacity </w:t>
            </w:r>
          </w:p>
        </w:tc>
        <w:tc>
          <w:tcPr>
            <w:tcW w:w="920" w:type="dxa"/>
            <w:hideMark/>
          </w:tcPr>
          <w:p w:rsidR="005E7A31" w:rsidRPr="005E7A31" w:rsidRDefault="005E7A31" w:rsidP="005E7A31"/>
        </w:tc>
        <w:tc>
          <w:tcPr>
            <w:tcW w:w="920" w:type="dxa"/>
            <w:hideMark/>
          </w:tcPr>
          <w:p w:rsidR="005E7A31" w:rsidRPr="005E7A31" w:rsidRDefault="005E7A31" w:rsidP="005E7A31"/>
        </w:tc>
        <w:tc>
          <w:tcPr>
            <w:tcW w:w="3980" w:type="dxa"/>
            <w:hideMark/>
          </w:tcPr>
          <w:p w:rsidR="005E7A31" w:rsidRPr="005E7A31" w:rsidRDefault="005E7A31" w:rsidP="005E7A31">
            <w:r w:rsidRPr="005E7A31">
              <w:t xml:space="preserve">99.995% availability of the total provided capacity </w:t>
            </w:r>
          </w:p>
        </w:tc>
      </w:tr>
      <w:tr w:rsidR="005E7A31" w:rsidRPr="005E7A31" w:rsidTr="005E7A31">
        <w:trPr>
          <w:trHeight w:val="900"/>
        </w:trPr>
        <w:tc>
          <w:tcPr>
            <w:tcW w:w="3760" w:type="dxa"/>
            <w:hideMark/>
          </w:tcPr>
          <w:p w:rsidR="005E7A31" w:rsidRPr="005E7A31" w:rsidRDefault="005E7A31" w:rsidP="005E7A31">
            <w:r w:rsidRPr="005E7A31">
              <w:t xml:space="preserve">Compliance to the standard procedures, protocols, forms, ITU, GSMA and agreements  </w:t>
            </w:r>
          </w:p>
        </w:tc>
        <w:tc>
          <w:tcPr>
            <w:tcW w:w="920" w:type="dxa"/>
            <w:hideMark/>
          </w:tcPr>
          <w:p w:rsidR="005E7A31" w:rsidRPr="005E7A31" w:rsidRDefault="005E7A31" w:rsidP="005E7A31"/>
        </w:tc>
        <w:tc>
          <w:tcPr>
            <w:tcW w:w="920" w:type="dxa"/>
            <w:hideMark/>
          </w:tcPr>
          <w:p w:rsidR="005E7A31" w:rsidRPr="005E7A31" w:rsidRDefault="005E7A31" w:rsidP="005E7A31"/>
        </w:tc>
        <w:tc>
          <w:tcPr>
            <w:tcW w:w="3980" w:type="dxa"/>
            <w:hideMark/>
          </w:tcPr>
          <w:p w:rsidR="005E7A31" w:rsidRPr="005E7A31" w:rsidRDefault="005E7A31" w:rsidP="005E7A31">
            <w:r w:rsidRPr="005E7A31">
              <w:t>LTE roaming using MIC2 DEA or the SCCP/IPX provider DEA connecting to MIC2 network</w:t>
            </w:r>
          </w:p>
        </w:tc>
      </w:tr>
      <w:tr w:rsidR="005E7A31" w:rsidRPr="005E7A31" w:rsidTr="005E7A31">
        <w:trPr>
          <w:trHeight w:val="1500"/>
        </w:trPr>
        <w:tc>
          <w:tcPr>
            <w:tcW w:w="3760" w:type="dxa"/>
            <w:hideMark/>
          </w:tcPr>
          <w:p w:rsidR="005E7A31" w:rsidRPr="005E7A31" w:rsidRDefault="005E7A31" w:rsidP="005E7A31">
            <w:r w:rsidRPr="005E7A31">
              <w:t xml:space="preserve">24x7 support, response within 15mn, resolution or workaround for the total service affecting issues within 1 hour and for the partial service affecting issues within 4 hours </w:t>
            </w:r>
          </w:p>
        </w:tc>
        <w:tc>
          <w:tcPr>
            <w:tcW w:w="920" w:type="dxa"/>
            <w:hideMark/>
          </w:tcPr>
          <w:p w:rsidR="005E7A31" w:rsidRPr="005E7A31" w:rsidRDefault="005E7A31" w:rsidP="005E7A31"/>
        </w:tc>
        <w:tc>
          <w:tcPr>
            <w:tcW w:w="920" w:type="dxa"/>
            <w:hideMark/>
          </w:tcPr>
          <w:p w:rsidR="005E7A31" w:rsidRPr="005E7A31" w:rsidRDefault="005E7A31" w:rsidP="005E7A31"/>
        </w:tc>
        <w:tc>
          <w:tcPr>
            <w:tcW w:w="3980" w:type="dxa"/>
            <w:hideMark/>
          </w:tcPr>
          <w:p w:rsidR="005E7A31" w:rsidRPr="005E7A31" w:rsidRDefault="005E7A31" w:rsidP="005E7A31">
            <w:r w:rsidRPr="005E7A31">
              <w:t>Connectivity between MIC2 (HSS/MME/PGW/SGW mainly S6a and S8 interfaces) and roaming service provider in 4 different packet core sites.</w:t>
            </w:r>
          </w:p>
        </w:tc>
      </w:tr>
      <w:tr w:rsidR="005E7A31" w:rsidRPr="005E7A31" w:rsidTr="005E7A31">
        <w:trPr>
          <w:trHeight w:val="900"/>
        </w:trPr>
        <w:tc>
          <w:tcPr>
            <w:tcW w:w="3760" w:type="dxa"/>
            <w:hideMark/>
          </w:tcPr>
          <w:p w:rsidR="005E7A31" w:rsidRPr="005E7A31" w:rsidRDefault="005E7A31" w:rsidP="005E7A31">
            <w:r w:rsidRPr="005E7A31">
              <w:lastRenderedPageBreak/>
              <w:t> </w:t>
            </w:r>
          </w:p>
        </w:tc>
        <w:tc>
          <w:tcPr>
            <w:tcW w:w="920" w:type="dxa"/>
            <w:hideMark/>
          </w:tcPr>
          <w:p w:rsidR="005E7A31" w:rsidRPr="005E7A31" w:rsidRDefault="005E7A31" w:rsidP="005E7A31"/>
        </w:tc>
        <w:tc>
          <w:tcPr>
            <w:tcW w:w="920" w:type="dxa"/>
            <w:hideMark/>
          </w:tcPr>
          <w:p w:rsidR="005E7A31" w:rsidRPr="005E7A31" w:rsidRDefault="005E7A31" w:rsidP="005E7A31"/>
        </w:tc>
        <w:tc>
          <w:tcPr>
            <w:tcW w:w="3980" w:type="dxa"/>
            <w:hideMark/>
          </w:tcPr>
          <w:p w:rsidR="005E7A31" w:rsidRPr="005E7A31" w:rsidRDefault="005E7A31" w:rsidP="005E7A31">
            <w:r w:rsidRPr="005E7A31">
              <w:t xml:space="preserve">Compliance to the standard procedures, protocols, forms, ITU, GSMA and agreements </w:t>
            </w:r>
          </w:p>
        </w:tc>
      </w:tr>
      <w:tr w:rsidR="005E7A31" w:rsidRPr="005E7A31" w:rsidTr="005E7A31">
        <w:trPr>
          <w:trHeight w:val="1500"/>
        </w:trPr>
        <w:tc>
          <w:tcPr>
            <w:tcW w:w="3760" w:type="dxa"/>
            <w:hideMark/>
          </w:tcPr>
          <w:p w:rsidR="005E7A31" w:rsidRPr="005E7A31" w:rsidRDefault="005E7A31" w:rsidP="005E7A31">
            <w:r w:rsidRPr="005E7A31">
              <w:t> </w:t>
            </w:r>
          </w:p>
        </w:tc>
        <w:tc>
          <w:tcPr>
            <w:tcW w:w="920" w:type="dxa"/>
            <w:hideMark/>
          </w:tcPr>
          <w:p w:rsidR="005E7A31" w:rsidRPr="005E7A31" w:rsidRDefault="005E7A31" w:rsidP="005E7A31"/>
        </w:tc>
        <w:tc>
          <w:tcPr>
            <w:tcW w:w="920" w:type="dxa"/>
            <w:hideMark/>
          </w:tcPr>
          <w:p w:rsidR="005E7A31" w:rsidRPr="005E7A31" w:rsidRDefault="005E7A31" w:rsidP="005E7A31"/>
        </w:tc>
        <w:tc>
          <w:tcPr>
            <w:tcW w:w="3980" w:type="dxa"/>
            <w:hideMark/>
          </w:tcPr>
          <w:p w:rsidR="005E7A31" w:rsidRPr="005E7A31" w:rsidRDefault="005E7A31" w:rsidP="005E7A31">
            <w:r w:rsidRPr="005E7A31">
              <w:t xml:space="preserve">24x7 support, response within 15mn, resolution or workaround for the total service affecting issues within 1 hour and for the partial service affecting issues within 4 hours </w:t>
            </w:r>
          </w:p>
        </w:tc>
      </w:tr>
      <w:tr w:rsidR="005E7A31" w:rsidRPr="005E7A31" w:rsidTr="005E7A31">
        <w:trPr>
          <w:trHeight w:val="600"/>
        </w:trPr>
        <w:tc>
          <w:tcPr>
            <w:tcW w:w="3760" w:type="dxa"/>
            <w:hideMark/>
          </w:tcPr>
          <w:p w:rsidR="005E7A31" w:rsidRPr="005E7A31" w:rsidRDefault="005E7A31" w:rsidP="005E7A31">
            <w:r w:rsidRPr="005E7A31">
              <w:t> </w:t>
            </w:r>
          </w:p>
        </w:tc>
        <w:tc>
          <w:tcPr>
            <w:tcW w:w="920" w:type="dxa"/>
            <w:hideMark/>
          </w:tcPr>
          <w:p w:rsidR="005E7A31" w:rsidRPr="005E7A31" w:rsidRDefault="005E7A31" w:rsidP="005E7A31"/>
        </w:tc>
        <w:tc>
          <w:tcPr>
            <w:tcW w:w="920" w:type="dxa"/>
            <w:hideMark/>
          </w:tcPr>
          <w:p w:rsidR="005E7A31" w:rsidRPr="005E7A31" w:rsidRDefault="005E7A31" w:rsidP="005E7A31"/>
        </w:tc>
        <w:tc>
          <w:tcPr>
            <w:tcW w:w="3980" w:type="dxa"/>
            <w:hideMark/>
          </w:tcPr>
          <w:p w:rsidR="005E7A31" w:rsidRPr="005E7A31" w:rsidRDefault="005E7A31" w:rsidP="005E7A31">
            <w:r w:rsidRPr="005E7A31">
              <w:t>2 IPsec tunnels with bandwidth up to 1000 Mbps each</w:t>
            </w:r>
          </w:p>
        </w:tc>
      </w:tr>
      <w:tr w:rsidR="005E7A31" w:rsidRPr="005E7A31" w:rsidTr="005E7A31">
        <w:trPr>
          <w:trHeight w:val="900"/>
        </w:trPr>
        <w:tc>
          <w:tcPr>
            <w:tcW w:w="3760" w:type="dxa"/>
            <w:hideMark/>
          </w:tcPr>
          <w:p w:rsidR="005E7A31" w:rsidRPr="005E7A31" w:rsidRDefault="005E7A31" w:rsidP="005E7A31">
            <w:r w:rsidRPr="005E7A31">
              <w:t> </w:t>
            </w:r>
          </w:p>
        </w:tc>
        <w:tc>
          <w:tcPr>
            <w:tcW w:w="920" w:type="dxa"/>
            <w:hideMark/>
          </w:tcPr>
          <w:p w:rsidR="005E7A31" w:rsidRPr="005E7A31" w:rsidRDefault="005E7A31" w:rsidP="005E7A31"/>
        </w:tc>
        <w:tc>
          <w:tcPr>
            <w:tcW w:w="920" w:type="dxa"/>
            <w:hideMark/>
          </w:tcPr>
          <w:p w:rsidR="005E7A31" w:rsidRPr="005E7A31" w:rsidRDefault="005E7A31" w:rsidP="005E7A31"/>
        </w:tc>
        <w:tc>
          <w:tcPr>
            <w:tcW w:w="3980" w:type="dxa"/>
            <w:hideMark/>
          </w:tcPr>
          <w:p w:rsidR="005E7A31" w:rsidRPr="005E7A31" w:rsidRDefault="005E7A31" w:rsidP="005E7A31">
            <w:r w:rsidRPr="005E7A31">
              <w:t>IPsec tunnels should function as active/active or active/standby configuration.</w:t>
            </w:r>
          </w:p>
        </w:tc>
      </w:tr>
      <w:tr w:rsidR="005E7A31" w:rsidRPr="005E7A31" w:rsidTr="005E7A31">
        <w:trPr>
          <w:trHeight w:val="3000"/>
        </w:trPr>
        <w:tc>
          <w:tcPr>
            <w:tcW w:w="3760" w:type="dxa"/>
            <w:hideMark/>
          </w:tcPr>
          <w:p w:rsidR="005E7A31" w:rsidRPr="005E7A31" w:rsidRDefault="005E7A31" w:rsidP="005E7A31">
            <w:r w:rsidRPr="005E7A31">
              <w:t> </w:t>
            </w:r>
          </w:p>
        </w:tc>
        <w:tc>
          <w:tcPr>
            <w:tcW w:w="920" w:type="dxa"/>
            <w:hideMark/>
          </w:tcPr>
          <w:p w:rsidR="005E7A31" w:rsidRPr="005E7A31" w:rsidRDefault="005E7A31" w:rsidP="005E7A31"/>
        </w:tc>
        <w:tc>
          <w:tcPr>
            <w:tcW w:w="920" w:type="dxa"/>
            <w:hideMark/>
          </w:tcPr>
          <w:p w:rsidR="005E7A31" w:rsidRPr="005E7A31" w:rsidRDefault="005E7A31" w:rsidP="005E7A31"/>
        </w:tc>
        <w:tc>
          <w:tcPr>
            <w:tcW w:w="3980" w:type="dxa"/>
            <w:hideMark/>
          </w:tcPr>
          <w:p w:rsidR="005E7A31" w:rsidRPr="005E7A31" w:rsidRDefault="005E7A31" w:rsidP="005E7A31">
            <w:r w:rsidRPr="005E7A31">
              <w:t xml:space="preserve">The vendor shall describe and provide the routing capabilities including special routing capabilities, routing flexibilities and functions (High Throughput and Low </w:t>
            </w:r>
            <w:proofErr w:type="spellStart"/>
            <w:r w:rsidRPr="005E7A31">
              <w:t>Latency,BGP</w:t>
            </w:r>
            <w:proofErr w:type="spellEnd"/>
            <w:r w:rsidRPr="005E7A31">
              <w:t xml:space="preserve"> (Border Gateway Protocol) </w:t>
            </w:r>
            <w:proofErr w:type="spellStart"/>
            <w:r w:rsidRPr="005E7A31">
              <w:t>Support,MPLS</w:t>
            </w:r>
            <w:proofErr w:type="spellEnd"/>
            <w:r w:rsidRPr="005E7A31">
              <w:t xml:space="preserve"> (Multiprotocol Label Switching) Capabilities, IPv4/IPv6 Dual Stack, Route Filtering and Policy-Based Routing, Equal-Cost Multi-Path )</w:t>
            </w:r>
            <w:r w:rsidRPr="005E7A31">
              <w:br/>
              <w:t xml:space="preserve"> </w:t>
            </w:r>
          </w:p>
        </w:tc>
      </w:tr>
    </w:tbl>
    <w:p w:rsidR="00AC79E5" w:rsidRPr="00AC79E5" w:rsidRDefault="00AC79E5" w:rsidP="00AC79E5"/>
    <w:p w:rsidR="00AC79E5" w:rsidRDefault="00AC79E5"/>
    <w:p w:rsidR="00382D16" w:rsidRDefault="00382D16">
      <w:pPr>
        <w:spacing w:after="160" w:line="259" w:lineRule="auto"/>
      </w:pPr>
      <w:r>
        <w:br w:type="page"/>
      </w:r>
    </w:p>
    <w:p w:rsidR="00AC79E5" w:rsidRDefault="004A5FA4" w:rsidP="004A5FA4">
      <w:pPr>
        <w:pStyle w:val="Heading1"/>
        <w:numPr>
          <w:ilvl w:val="0"/>
          <w:numId w:val="3"/>
        </w:numPr>
        <w:spacing w:before="120" w:after="120"/>
        <w:rPr>
          <w:b/>
          <w:bCs/>
          <w:color w:val="000000" w:themeColor="text1"/>
          <w:u w:val="single"/>
        </w:rPr>
      </w:pPr>
      <w:r>
        <w:rPr>
          <w:b/>
          <w:bCs/>
          <w:color w:val="000000" w:themeColor="text1"/>
          <w:u w:val="single"/>
        </w:rPr>
        <w:t>FCH DCH</w:t>
      </w:r>
      <w:r w:rsidR="00AC79E5">
        <w:rPr>
          <w:b/>
          <w:bCs/>
          <w:color w:val="000000" w:themeColor="text1"/>
          <w:u w:val="single"/>
        </w:rPr>
        <w:t>:</w:t>
      </w:r>
    </w:p>
    <w:p w:rsidR="00AC79E5" w:rsidRDefault="00AC79E5"/>
    <w:tbl>
      <w:tblPr>
        <w:tblW w:w="8640" w:type="dxa"/>
        <w:tblLook w:val="04A0" w:firstRow="1" w:lastRow="0" w:firstColumn="1" w:lastColumn="0" w:noHBand="0" w:noVBand="1"/>
      </w:tblPr>
      <w:tblGrid>
        <w:gridCol w:w="960"/>
        <w:gridCol w:w="7680"/>
      </w:tblGrid>
      <w:tr w:rsidR="00AC79E5" w:rsidRPr="00AC79E5" w:rsidTr="004A5FA4">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AC79E5" w:rsidRPr="00AC79E5" w:rsidRDefault="00AC79E5" w:rsidP="00AC79E5">
            <w:pPr>
              <w:jc w:val="center"/>
              <w:rPr>
                <w:rFonts w:ascii="Calibri" w:hAnsi="Calibri" w:cs="Calibri"/>
                <w:color w:val="FFFFFF"/>
                <w:sz w:val="22"/>
                <w:szCs w:val="22"/>
              </w:rPr>
            </w:pPr>
            <w:proofErr w:type="spellStart"/>
            <w:r w:rsidRPr="00AC79E5">
              <w:rPr>
                <w:rFonts w:ascii="Calibri" w:hAnsi="Calibri" w:cs="Calibri"/>
                <w:color w:val="FFFFFF"/>
                <w:sz w:val="22"/>
                <w:szCs w:val="22"/>
              </w:rPr>
              <w:t>S.No</w:t>
            </w:r>
            <w:proofErr w:type="spellEnd"/>
            <w:r w:rsidRPr="00AC79E5">
              <w:rPr>
                <w:rFonts w:ascii="Calibri" w:hAnsi="Calibri" w:cs="Calibri"/>
                <w:color w:val="FFFFFF"/>
                <w:sz w:val="22"/>
                <w:szCs w:val="22"/>
              </w:rPr>
              <w:t>.</w:t>
            </w:r>
          </w:p>
        </w:tc>
        <w:tc>
          <w:tcPr>
            <w:tcW w:w="7680" w:type="dxa"/>
            <w:tcBorders>
              <w:top w:val="single" w:sz="4" w:space="0" w:color="auto"/>
              <w:left w:val="nil"/>
              <w:bottom w:val="single" w:sz="4" w:space="0" w:color="auto"/>
              <w:right w:val="single" w:sz="4" w:space="0" w:color="auto"/>
            </w:tcBorders>
            <w:shd w:val="clear" w:color="000000" w:fill="A6A6A6"/>
            <w:noWrap/>
            <w:vAlign w:val="center"/>
            <w:hideMark/>
          </w:tcPr>
          <w:p w:rsidR="00AC79E5" w:rsidRPr="00AC79E5" w:rsidRDefault="00AC79E5" w:rsidP="00AC79E5">
            <w:pPr>
              <w:jc w:val="center"/>
              <w:rPr>
                <w:rFonts w:ascii="Arial" w:hAnsi="Arial" w:cs="Arial"/>
                <w:color w:val="FFFFFF"/>
              </w:rPr>
            </w:pPr>
            <w:r w:rsidRPr="00AC79E5">
              <w:rPr>
                <w:rFonts w:ascii="Arial" w:hAnsi="Arial" w:cs="Arial"/>
                <w:color w:val="FFFFFF"/>
              </w:rPr>
              <w:t>Description</w:t>
            </w:r>
          </w:p>
        </w:tc>
      </w:tr>
      <w:tr w:rsidR="00AC79E5" w:rsidRPr="00AC79E5" w:rsidTr="004A5FA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C79E5" w:rsidRPr="00AC79E5" w:rsidRDefault="00AC79E5" w:rsidP="00AC79E5">
            <w:pPr>
              <w:jc w:val="center"/>
              <w:rPr>
                <w:rFonts w:ascii="Calibri" w:hAnsi="Calibri" w:cs="Calibri"/>
                <w:color w:val="000000"/>
                <w:sz w:val="22"/>
                <w:szCs w:val="22"/>
              </w:rPr>
            </w:pPr>
            <w:r w:rsidRPr="00AC79E5">
              <w:rPr>
                <w:rFonts w:ascii="Calibri" w:hAnsi="Calibri" w:cs="Calibri"/>
                <w:color w:val="000000"/>
                <w:sz w:val="22"/>
                <w:szCs w:val="22"/>
              </w:rPr>
              <w:t>1</w:t>
            </w:r>
          </w:p>
        </w:tc>
        <w:tc>
          <w:tcPr>
            <w:tcW w:w="7680" w:type="dxa"/>
            <w:tcBorders>
              <w:top w:val="single" w:sz="4" w:space="0" w:color="auto"/>
              <w:left w:val="nil"/>
              <w:bottom w:val="single" w:sz="4" w:space="0" w:color="auto"/>
              <w:right w:val="single" w:sz="4" w:space="0" w:color="auto"/>
            </w:tcBorders>
            <w:shd w:val="clear" w:color="auto" w:fill="auto"/>
            <w:noWrap/>
            <w:vAlign w:val="center"/>
            <w:hideMark/>
          </w:tcPr>
          <w:p w:rsidR="00AC79E5" w:rsidRPr="00AC79E5" w:rsidRDefault="00AC79E5" w:rsidP="00AC79E5">
            <w:pPr>
              <w:rPr>
                <w:rFonts w:ascii="Arial" w:hAnsi="Arial" w:cs="Arial"/>
                <w:color w:val="000000"/>
              </w:rPr>
            </w:pPr>
            <w:r w:rsidRPr="00AC79E5">
              <w:rPr>
                <w:rFonts w:ascii="Arial" w:hAnsi="Arial" w:cs="Arial"/>
                <w:color w:val="000000"/>
              </w:rPr>
              <w:t>SFTP connection in order to transfer/receive TAP/NRT files.</w:t>
            </w:r>
          </w:p>
        </w:tc>
      </w:tr>
      <w:tr w:rsidR="00AC79E5" w:rsidRPr="00AC79E5" w:rsidTr="004A5FA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C79E5" w:rsidRPr="00AC79E5" w:rsidRDefault="00AC79E5" w:rsidP="00AC79E5">
            <w:pPr>
              <w:jc w:val="center"/>
              <w:rPr>
                <w:rFonts w:ascii="Calibri" w:hAnsi="Calibri" w:cs="Calibri"/>
                <w:color w:val="000000"/>
                <w:sz w:val="22"/>
                <w:szCs w:val="22"/>
              </w:rPr>
            </w:pPr>
            <w:r w:rsidRPr="00AC79E5">
              <w:rPr>
                <w:rFonts w:ascii="Calibri" w:hAnsi="Calibri" w:cs="Calibri"/>
                <w:color w:val="000000"/>
                <w:sz w:val="22"/>
                <w:szCs w:val="22"/>
              </w:rPr>
              <w:t>2</w:t>
            </w:r>
          </w:p>
        </w:tc>
        <w:tc>
          <w:tcPr>
            <w:tcW w:w="7680" w:type="dxa"/>
            <w:tcBorders>
              <w:top w:val="single" w:sz="4" w:space="0" w:color="auto"/>
              <w:left w:val="nil"/>
              <w:bottom w:val="single" w:sz="4" w:space="0" w:color="auto"/>
              <w:right w:val="single" w:sz="4" w:space="0" w:color="auto"/>
            </w:tcBorders>
            <w:shd w:val="clear" w:color="auto" w:fill="auto"/>
            <w:noWrap/>
            <w:vAlign w:val="center"/>
            <w:hideMark/>
          </w:tcPr>
          <w:p w:rsidR="00AC79E5" w:rsidRPr="00AC79E5" w:rsidRDefault="00AC79E5" w:rsidP="00AC79E5">
            <w:pPr>
              <w:rPr>
                <w:rFonts w:ascii="Arial" w:hAnsi="Arial" w:cs="Arial"/>
                <w:color w:val="000000"/>
              </w:rPr>
            </w:pPr>
            <w:r w:rsidRPr="00AC79E5">
              <w:rPr>
                <w:rFonts w:ascii="Arial" w:hAnsi="Arial" w:cs="Arial"/>
                <w:color w:val="000000"/>
              </w:rPr>
              <w:t>Rejected/Missing files reports.</w:t>
            </w:r>
          </w:p>
        </w:tc>
      </w:tr>
      <w:tr w:rsidR="00AC79E5" w:rsidRPr="00AC79E5" w:rsidTr="004A5FA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C79E5" w:rsidRPr="00AC79E5" w:rsidRDefault="00AC79E5" w:rsidP="00AC79E5">
            <w:pPr>
              <w:jc w:val="center"/>
              <w:rPr>
                <w:rFonts w:ascii="Calibri" w:hAnsi="Calibri" w:cs="Calibri"/>
                <w:color w:val="000000"/>
                <w:sz w:val="22"/>
                <w:szCs w:val="22"/>
              </w:rPr>
            </w:pPr>
            <w:r w:rsidRPr="00AC79E5">
              <w:rPr>
                <w:rFonts w:ascii="Calibri" w:hAnsi="Calibri" w:cs="Calibri"/>
                <w:color w:val="000000"/>
                <w:sz w:val="22"/>
                <w:szCs w:val="22"/>
              </w:rPr>
              <w:t>3</w:t>
            </w:r>
          </w:p>
        </w:tc>
        <w:tc>
          <w:tcPr>
            <w:tcW w:w="7680" w:type="dxa"/>
            <w:tcBorders>
              <w:top w:val="single" w:sz="4" w:space="0" w:color="auto"/>
              <w:left w:val="nil"/>
              <w:bottom w:val="single" w:sz="4" w:space="0" w:color="auto"/>
              <w:right w:val="single" w:sz="4" w:space="0" w:color="auto"/>
            </w:tcBorders>
            <w:shd w:val="clear" w:color="auto" w:fill="auto"/>
            <w:noWrap/>
            <w:vAlign w:val="center"/>
            <w:hideMark/>
          </w:tcPr>
          <w:p w:rsidR="00AC79E5" w:rsidRPr="00AC79E5" w:rsidRDefault="00AC79E5" w:rsidP="00AC79E5">
            <w:pPr>
              <w:rPr>
                <w:rFonts w:ascii="Arial" w:hAnsi="Arial" w:cs="Arial"/>
                <w:color w:val="000000"/>
              </w:rPr>
            </w:pPr>
            <w:r w:rsidRPr="00AC79E5">
              <w:rPr>
                <w:rFonts w:ascii="Arial" w:hAnsi="Arial" w:cs="Arial"/>
                <w:color w:val="000000"/>
              </w:rPr>
              <w:t>Detailed validation reports for the rejected files.</w:t>
            </w:r>
          </w:p>
        </w:tc>
      </w:tr>
      <w:tr w:rsidR="00AC79E5" w:rsidRPr="00AC79E5" w:rsidTr="004A5FA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C79E5" w:rsidRPr="00AC79E5" w:rsidRDefault="00AC79E5" w:rsidP="00AC79E5">
            <w:pPr>
              <w:jc w:val="center"/>
              <w:rPr>
                <w:rFonts w:ascii="Calibri" w:hAnsi="Calibri" w:cs="Calibri"/>
                <w:color w:val="000000"/>
                <w:sz w:val="22"/>
                <w:szCs w:val="22"/>
              </w:rPr>
            </w:pPr>
            <w:r w:rsidRPr="00AC79E5">
              <w:rPr>
                <w:rFonts w:ascii="Calibri" w:hAnsi="Calibri" w:cs="Calibri"/>
                <w:color w:val="000000"/>
                <w:sz w:val="22"/>
                <w:szCs w:val="22"/>
              </w:rPr>
              <w:t>4</w:t>
            </w:r>
          </w:p>
        </w:tc>
        <w:tc>
          <w:tcPr>
            <w:tcW w:w="7680" w:type="dxa"/>
            <w:tcBorders>
              <w:top w:val="single" w:sz="4" w:space="0" w:color="auto"/>
              <w:left w:val="nil"/>
              <w:bottom w:val="single" w:sz="4" w:space="0" w:color="auto"/>
              <w:right w:val="single" w:sz="4" w:space="0" w:color="auto"/>
            </w:tcBorders>
            <w:shd w:val="clear" w:color="auto" w:fill="auto"/>
            <w:noWrap/>
            <w:vAlign w:val="center"/>
            <w:hideMark/>
          </w:tcPr>
          <w:p w:rsidR="00AC79E5" w:rsidRPr="00AC79E5" w:rsidRDefault="00AC79E5" w:rsidP="00AC79E5">
            <w:pPr>
              <w:rPr>
                <w:rFonts w:ascii="Arial" w:hAnsi="Arial" w:cs="Arial"/>
                <w:color w:val="000000"/>
              </w:rPr>
            </w:pPr>
            <w:r w:rsidRPr="00AC79E5">
              <w:rPr>
                <w:rFonts w:ascii="Arial" w:hAnsi="Arial" w:cs="Arial"/>
                <w:color w:val="000000"/>
              </w:rPr>
              <w:t>Handling RAP files with other DCH.</w:t>
            </w:r>
          </w:p>
        </w:tc>
      </w:tr>
      <w:tr w:rsidR="00AC79E5" w:rsidRPr="00AC79E5" w:rsidTr="004A5FA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C79E5" w:rsidRPr="00AC79E5" w:rsidRDefault="00AC79E5" w:rsidP="00AC79E5">
            <w:pPr>
              <w:jc w:val="center"/>
              <w:rPr>
                <w:rFonts w:ascii="Calibri" w:hAnsi="Calibri" w:cs="Calibri"/>
                <w:color w:val="000000"/>
                <w:sz w:val="22"/>
                <w:szCs w:val="22"/>
              </w:rPr>
            </w:pPr>
            <w:r w:rsidRPr="00AC79E5">
              <w:rPr>
                <w:rFonts w:ascii="Calibri" w:hAnsi="Calibri" w:cs="Calibri"/>
                <w:color w:val="000000"/>
                <w:sz w:val="22"/>
                <w:szCs w:val="22"/>
              </w:rPr>
              <w:t>5</w:t>
            </w:r>
          </w:p>
        </w:tc>
        <w:tc>
          <w:tcPr>
            <w:tcW w:w="7680" w:type="dxa"/>
            <w:tcBorders>
              <w:top w:val="single" w:sz="4" w:space="0" w:color="auto"/>
              <w:left w:val="nil"/>
              <w:bottom w:val="single" w:sz="4" w:space="0" w:color="auto"/>
              <w:right w:val="single" w:sz="4" w:space="0" w:color="auto"/>
            </w:tcBorders>
            <w:shd w:val="clear" w:color="auto" w:fill="auto"/>
            <w:noWrap/>
            <w:vAlign w:val="center"/>
            <w:hideMark/>
          </w:tcPr>
          <w:p w:rsidR="00AC79E5" w:rsidRPr="00AC79E5" w:rsidRDefault="00AC79E5" w:rsidP="00AC79E5">
            <w:pPr>
              <w:rPr>
                <w:rFonts w:ascii="Arial" w:hAnsi="Arial" w:cs="Arial"/>
                <w:color w:val="000000"/>
              </w:rPr>
            </w:pPr>
            <w:r w:rsidRPr="00AC79E5">
              <w:rPr>
                <w:rFonts w:ascii="Arial" w:hAnsi="Arial" w:cs="Arial"/>
                <w:color w:val="000000"/>
              </w:rPr>
              <w:t xml:space="preserve">Generating Roaming invoices. </w:t>
            </w:r>
          </w:p>
        </w:tc>
      </w:tr>
      <w:tr w:rsidR="00AC79E5" w:rsidRPr="00AC79E5" w:rsidTr="004A5FA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C79E5" w:rsidRPr="00AC79E5" w:rsidRDefault="00AC79E5" w:rsidP="00AC79E5">
            <w:pPr>
              <w:jc w:val="center"/>
              <w:rPr>
                <w:rFonts w:ascii="Calibri" w:hAnsi="Calibri" w:cs="Calibri"/>
                <w:color w:val="000000"/>
                <w:sz w:val="22"/>
                <w:szCs w:val="22"/>
              </w:rPr>
            </w:pPr>
            <w:r w:rsidRPr="00AC79E5">
              <w:rPr>
                <w:rFonts w:ascii="Calibri" w:hAnsi="Calibri" w:cs="Calibri"/>
                <w:color w:val="000000"/>
                <w:sz w:val="22"/>
                <w:szCs w:val="22"/>
              </w:rPr>
              <w:t>6</w:t>
            </w:r>
          </w:p>
        </w:tc>
        <w:tc>
          <w:tcPr>
            <w:tcW w:w="7680" w:type="dxa"/>
            <w:tcBorders>
              <w:top w:val="single" w:sz="4" w:space="0" w:color="auto"/>
              <w:left w:val="nil"/>
              <w:bottom w:val="single" w:sz="4" w:space="0" w:color="auto"/>
              <w:right w:val="single" w:sz="4" w:space="0" w:color="auto"/>
            </w:tcBorders>
            <w:shd w:val="clear" w:color="auto" w:fill="auto"/>
            <w:noWrap/>
            <w:vAlign w:val="center"/>
            <w:hideMark/>
          </w:tcPr>
          <w:p w:rsidR="00AC79E5" w:rsidRPr="00AC79E5" w:rsidRDefault="00AC79E5" w:rsidP="00AC79E5">
            <w:pPr>
              <w:rPr>
                <w:rFonts w:ascii="Arial" w:hAnsi="Arial" w:cs="Arial"/>
                <w:color w:val="000000"/>
              </w:rPr>
            </w:pPr>
            <w:r w:rsidRPr="00AC79E5">
              <w:rPr>
                <w:rFonts w:ascii="Arial" w:hAnsi="Arial" w:cs="Arial"/>
                <w:color w:val="000000"/>
              </w:rPr>
              <w:t> TAP IN/OUT files processing</w:t>
            </w:r>
          </w:p>
        </w:tc>
      </w:tr>
      <w:tr w:rsidR="00AC79E5" w:rsidRPr="00AC79E5" w:rsidTr="004A5FA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C79E5" w:rsidRPr="00AC79E5" w:rsidRDefault="00AC79E5" w:rsidP="00AC79E5">
            <w:pPr>
              <w:jc w:val="center"/>
              <w:rPr>
                <w:rFonts w:ascii="Calibri" w:hAnsi="Calibri" w:cs="Calibri"/>
                <w:color w:val="000000"/>
                <w:sz w:val="22"/>
                <w:szCs w:val="22"/>
              </w:rPr>
            </w:pPr>
            <w:r w:rsidRPr="00AC79E5">
              <w:rPr>
                <w:rFonts w:ascii="Calibri" w:hAnsi="Calibri" w:cs="Calibri"/>
                <w:color w:val="000000"/>
                <w:sz w:val="22"/>
                <w:szCs w:val="22"/>
              </w:rPr>
              <w:t>7</w:t>
            </w:r>
          </w:p>
        </w:tc>
        <w:tc>
          <w:tcPr>
            <w:tcW w:w="7680" w:type="dxa"/>
            <w:tcBorders>
              <w:top w:val="single" w:sz="4" w:space="0" w:color="auto"/>
              <w:left w:val="nil"/>
              <w:bottom w:val="single" w:sz="4" w:space="0" w:color="auto"/>
              <w:right w:val="single" w:sz="4" w:space="0" w:color="auto"/>
            </w:tcBorders>
            <w:shd w:val="clear" w:color="auto" w:fill="auto"/>
            <w:noWrap/>
            <w:vAlign w:val="center"/>
            <w:hideMark/>
          </w:tcPr>
          <w:p w:rsidR="00AC79E5" w:rsidRPr="00AC79E5" w:rsidRDefault="00AC79E5" w:rsidP="00AC79E5">
            <w:pPr>
              <w:rPr>
                <w:rFonts w:ascii="Arial" w:hAnsi="Arial" w:cs="Arial"/>
                <w:color w:val="000000"/>
              </w:rPr>
            </w:pPr>
            <w:r w:rsidRPr="00AC79E5">
              <w:rPr>
                <w:rFonts w:ascii="Arial" w:hAnsi="Arial" w:cs="Arial"/>
                <w:color w:val="000000"/>
              </w:rPr>
              <w:t>Inter Operator Tariff (IOT) Check for TAP files</w:t>
            </w:r>
          </w:p>
        </w:tc>
      </w:tr>
      <w:tr w:rsidR="00AC79E5" w:rsidRPr="00AC79E5" w:rsidTr="004A5FA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C79E5" w:rsidRPr="00AC79E5" w:rsidRDefault="00AC79E5" w:rsidP="00AC79E5">
            <w:pPr>
              <w:jc w:val="center"/>
              <w:rPr>
                <w:rFonts w:ascii="Calibri" w:hAnsi="Calibri" w:cs="Calibri"/>
                <w:color w:val="000000"/>
                <w:sz w:val="22"/>
                <w:szCs w:val="22"/>
              </w:rPr>
            </w:pPr>
            <w:r w:rsidRPr="00AC79E5">
              <w:rPr>
                <w:rFonts w:ascii="Calibri" w:hAnsi="Calibri" w:cs="Calibri"/>
                <w:color w:val="000000"/>
                <w:sz w:val="22"/>
                <w:szCs w:val="22"/>
              </w:rPr>
              <w:t>8</w:t>
            </w:r>
          </w:p>
        </w:tc>
        <w:tc>
          <w:tcPr>
            <w:tcW w:w="7680" w:type="dxa"/>
            <w:tcBorders>
              <w:top w:val="single" w:sz="4" w:space="0" w:color="auto"/>
              <w:left w:val="nil"/>
              <w:bottom w:val="single" w:sz="4" w:space="0" w:color="auto"/>
              <w:right w:val="single" w:sz="4" w:space="0" w:color="auto"/>
            </w:tcBorders>
            <w:shd w:val="clear" w:color="auto" w:fill="auto"/>
            <w:noWrap/>
            <w:vAlign w:val="center"/>
            <w:hideMark/>
          </w:tcPr>
          <w:p w:rsidR="00AC79E5" w:rsidRPr="00AC79E5" w:rsidRDefault="00AC79E5" w:rsidP="00AC79E5">
            <w:pPr>
              <w:rPr>
                <w:rFonts w:ascii="Arial" w:hAnsi="Arial" w:cs="Arial"/>
                <w:color w:val="000000"/>
              </w:rPr>
            </w:pPr>
            <w:r w:rsidRPr="00AC79E5">
              <w:rPr>
                <w:rFonts w:ascii="Arial" w:hAnsi="Arial" w:cs="Arial"/>
                <w:color w:val="000000"/>
              </w:rPr>
              <w:t>Near Real Time Roaming Data Exchange (NRTRDE) IN/OUT files processing</w:t>
            </w:r>
          </w:p>
        </w:tc>
      </w:tr>
      <w:tr w:rsidR="00AC79E5" w:rsidRPr="00AC79E5" w:rsidTr="004A5FA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C79E5" w:rsidRPr="00AC79E5" w:rsidRDefault="00AC79E5" w:rsidP="00AC79E5">
            <w:pPr>
              <w:jc w:val="center"/>
              <w:rPr>
                <w:rFonts w:ascii="Calibri" w:hAnsi="Calibri" w:cs="Calibri"/>
                <w:color w:val="000000"/>
                <w:sz w:val="22"/>
                <w:szCs w:val="22"/>
              </w:rPr>
            </w:pPr>
            <w:r w:rsidRPr="00AC79E5">
              <w:rPr>
                <w:rFonts w:ascii="Calibri" w:hAnsi="Calibri" w:cs="Calibri"/>
                <w:color w:val="000000"/>
                <w:sz w:val="22"/>
                <w:szCs w:val="22"/>
              </w:rPr>
              <w:t>9</w:t>
            </w:r>
          </w:p>
        </w:tc>
        <w:tc>
          <w:tcPr>
            <w:tcW w:w="7680" w:type="dxa"/>
            <w:tcBorders>
              <w:top w:val="single" w:sz="4" w:space="0" w:color="auto"/>
              <w:left w:val="nil"/>
              <w:bottom w:val="single" w:sz="4" w:space="0" w:color="auto"/>
              <w:right w:val="single" w:sz="4" w:space="0" w:color="auto"/>
            </w:tcBorders>
            <w:shd w:val="clear" w:color="auto" w:fill="auto"/>
            <w:noWrap/>
            <w:vAlign w:val="center"/>
            <w:hideMark/>
          </w:tcPr>
          <w:p w:rsidR="00AC79E5" w:rsidRPr="00AC79E5" w:rsidRDefault="00AC79E5" w:rsidP="00AC79E5">
            <w:pPr>
              <w:rPr>
                <w:rFonts w:ascii="Arial" w:hAnsi="Arial" w:cs="Arial"/>
                <w:color w:val="000000"/>
              </w:rPr>
            </w:pPr>
            <w:r w:rsidRPr="00AC79E5">
              <w:rPr>
                <w:rFonts w:ascii="Arial" w:hAnsi="Arial" w:cs="Arial"/>
                <w:color w:val="000000"/>
              </w:rPr>
              <w:t>Data Clearing</w:t>
            </w:r>
          </w:p>
        </w:tc>
      </w:tr>
      <w:tr w:rsidR="00AC79E5" w:rsidRPr="00AC79E5" w:rsidTr="004A5FA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C79E5" w:rsidRPr="00AC79E5" w:rsidRDefault="00AC79E5" w:rsidP="00AC79E5">
            <w:pPr>
              <w:jc w:val="center"/>
              <w:rPr>
                <w:rFonts w:ascii="Calibri" w:hAnsi="Calibri" w:cs="Calibri"/>
                <w:color w:val="000000"/>
                <w:sz w:val="22"/>
                <w:szCs w:val="22"/>
              </w:rPr>
            </w:pPr>
            <w:r w:rsidRPr="00AC79E5">
              <w:rPr>
                <w:rFonts w:ascii="Calibri" w:hAnsi="Calibri" w:cs="Calibri"/>
                <w:color w:val="000000"/>
                <w:sz w:val="22"/>
                <w:szCs w:val="22"/>
              </w:rPr>
              <w:t>10</w:t>
            </w:r>
          </w:p>
        </w:tc>
        <w:tc>
          <w:tcPr>
            <w:tcW w:w="7680" w:type="dxa"/>
            <w:tcBorders>
              <w:top w:val="single" w:sz="4" w:space="0" w:color="auto"/>
              <w:left w:val="nil"/>
              <w:bottom w:val="single" w:sz="4" w:space="0" w:color="auto"/>
              <w:right w:val="single" w:sz="4" w:space="0" w:color="auto"/>
            </w:tcBorders>
            <w:shd w:val="clear" w:color="auto" w:fill="auto"/>
            <w:noWrap/>
            <w:vAlign w:val="center"/>
            <w:hideMark/>
          </w:tcPr>
          <w:p w:rsidR="00AC79E5" w:rsidRPr="00AC79E5" w:rsidRDefault="00AC79E5" w:rsidP="00AC79E5">
            <w:pPr>
              <w:rPr>
                <w:rFonts w:ascii="Arial" w:hAnsi="Arial" w:cs="Arial"/>
                <w:color w:val="000000"/>
              </w:rPr>
            </w:pPr>
            <w:r w:rsidRPr="00AC79E5">
              <w:rPr>
                <w:rFonts w:ascii="Arial" w:hAnsi="Arial" w:cs="Arial"/>
                <w:color w:val="000000"/>
              </w:rPr>
              <w:t>Fraud control report</w:t>
            </w:r>
          </w:p>
        </w:tc>
      </w:tr>
      <w:tr w:rsidR="00AC79E5" w:rsidRPr="00AC79E5" w:rsidTr="004A5FA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C79E5" w:rsidRPr="00AC79E5" w:rsidRDefault="00AC79E5" w:rsidP="00AC79E5">
            <w:pPr>
              <w:jc w:val="center"/>
              <w:rPr>
                <w:rFonts w:ascii="Calibri" w:hAnsi="Calibri" w:cs="Calibri"/>
                <w:color w:val="000000"/>
                <w:sz w:val="22"/>
                <w:szCs w:val="22"/>
              </w:rPr>
            </w:pPr>
            <w:r w:rsidRPr="00AC79E5">
              <w:rPr>
                <w:rFonts w:ascii="Calibri" w:hAnsi="Calibri" w:cs="Calibri"/>
                <w:color w:val="000000"/>
                <w:sz w:val="22"/>
                <w:szCs w:val="22"/>
              </w:rPr>
              <w:t>11</w:t>
            </w:r>
          </w:p>
        </w:tc>
        <w:tc>
          <w:tcPr>
            <w:tcW w:w="7680" w:type="dxa"/>
            <w:tcBorders>
              <w:top w:val="single" w:sz="4" w:space="0" w:color="auto"/>
              <w:left w:val="nil"/>
              <w:bottom w:val="single" w:sz="4" w:space="0" w:color="auto"/>
              <w:right w:val="single" w:sz="4" w:space="0" w:color="auto"/>
            </w:tcBorders>
            <w:shd w:val="clear" w:color="auto" w:fill="auto"/>
            <w:noWrap/>
            <w:vAlign w:val="center"/>
            <w:hideMark/>
          </w:tcPr>
          <w:p w:rsidR="00AC79E5" w:rsidRPr="00AC79E5" w:rsidRDefault="00AC79E5" w:rsidP="00AC79E5">
            <w:pPr>
              <w:rPr>
                <w:rFonts w:ascii="Arial" w:hAnsi="Arial" w:cs="Arial"/>
                <w:color w:val="000000"/>
              </w:rPr>
            </w:pPr>
            <w:r w:rsidRPr="00AC79E5">
              <w:rPr>
                <w:rFonts w:ascii="Arial" w:hAnsi="Arial" w:cs="Arial"/>
                <w:color w:val="000000"/>
              </w:rPr>
              <w:t>Tap Correction</w:t>
            </w:r>
          </w:p>
        </w:tc>
      </w:tr>
      <w:tr w:rsidR="00AC79E5" w:rsidRPr="00AC79E5" w:rsidTr="004A5FA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C79E5" w:rsidRPr="00AC79E5" w:rsidRDefault="00AC79E5" w:rsidP="00AC79E5">
            <w:pPr>
              <w:jc w:val="center"/>
              <w:rPr>
                <w:rFonts w:ascii="Calibri" w:hAnsi="Calibri" w:cs="Calibri"/>
                <w:color w:val="000000"/>
                <w:sz w:val="22"/>
                <w:szCs w:val="22"/>
              </w:rPr>
            </w:pPr>
            <w:r w:rsidRPr="00AC79E5">
              <w:rPr>
                <w:rFonts w:ascii="Calibri" w:hAnsi="Calibri" w:cs="Calibri"/>
                <w:color w:val="000000"/>
                <w:sz w:val="22"/>
                <w:szCs w:val="22"/>
              </w:rPr>
              <w:t>12</w:t>
            </w:r>
          </w:p>
        </w:tc>
        <w:tc>
          <w:tcPr>
            <w:tcW w:w="7680" w:type="dxa"/>
            <w:tcBorders>
              <w:top w:val="single" w:sz="4" w:space="0" w:color="auto"/>
              <w:left w:val="nil"/>
              <w:bottom w:val="single" w:sz="4" w:space="0" w:color="auto"/>
              <w:right w:val="single" w:sz="4" w:space="0" w:color="auto"/>
            </w:tcBorders>
            <w:shd w:val="clear" w:color="auto" w:fill="auto"/>
            <w:noWrap/>
            <w:vAlign w:val="center"/>
            <w:hideMark/>
          </w:tcPr>
          <w:p w:rsidR="00AC79E5" w:rsidRPr="00AC79E5" w:rsidRDefault="00AC79E5" w:rsidP="00AC79E5">
            <w:pPr>
              <w:rPr>
                <w:rFonts w:ascii="Arial" w:hAnsi="Arial" w:cs="Arial"/>
                <w:color w:val="000000"/>
              </w:rPr>
            </w:pPr>
            <w:r w:rsidRPr="00AC79E5">
              <w:rPr>
                <w:rFonts w:ascii="Arial" w:hAnsi="Arial" w:cs="Arial"/>
                <w:color w:val="000000"/>
              </w:rPr>
              <w:t>online services</w:t>
            </w:r>
          </w:p>
        </w:tc>
      </w:tr>
      <w:tr w:rsidR="00AC79E5" w:rsidRPr="00382D16" w:rsidTr="004A5FA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C79E5" w:rsidRPr="00AC79E5" w:rsidRDefault="00AC79E5" w:rsidP="00AC79E5">
            <w:pPr>
              <w:jc w:val="center"/>
              <w:rPr>
                <w:rFonts w:ascii="Calibri" w:hAnsi="Calibri" w:cs="Calibri"/>
                <w:color w:val="000000"/>
                <w:sz w:val="22"/>
                <w:szCs w:val="22"/>
              </w:rPr>
            </w:pPr>
            <w:r w:rsidRPr="00AC79E5">
              <w:rPr>
                <w:rFonts w:ascii="Calibri" w:hAnsi="Calibri" w:cs="Calibri"/>
                <w:color w:val="000000"/>
                <w:sz w:val="22"/>
                <w:szCs w:val="22"/>
              </w:rPr>
              <w:t>13</w:t>
            </w:r>
          </w:p>
        </w:tc>
        <w:tc>
          <w:tcPr>
            <w:tcW w:w="7680" w:type="dxa"/>
            <w:tcBorders>
              <w:top w:val="single" w:sz="4" w:space="0" w:color="auto"/>
              <w:left w:val="nil"/>
              <w:bottom w:val="single" w:sz="4" w:space="0" w:color="auto"/>
              <w:right w:val="single" w:sz="4" w:space="0" w:color="auto"/>
            </w:tcBorders>
            <w:shd w:val="clear" w:color="auto" w:fill="auto"/>
            <w:noWrap/>
            <w:vAlign w:val="center"/>
            <w:hideMark/>
          </w:tcPr>
          <w:p w:rsidR="00AC79E5" w:rsidRPr="00382D16" w:rsidRDefault="00AC79E5" w:rsidP="00382D16">
            <w:pPr>
              <w:rPr>
                <w:rFonts w:ascii="Arial" w:hAnsi="Arial" w:cs="Arial"/>
                <w:color w:val="000000"/>
              </w:rPr>
            </w:pPr>
            <w:r w:rsidRPr="00382D16">
              <w:rPr>
                <w:rFonts w:ascii="Arial" w:hAnsi="Arial" w:cs="Arial"/>
                <w:color w:val="000000"/>
              </w:rPr>
              <w:t>Customer support</w:t>
            </w:r>
          </w:p>
        </w:tc>
      </w:tr>
      <w:tr w:rsidR="004A5FA4" w:rsidRPr="00382D16" w:rsidTr="00382D1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A5FA4" w:rsidRPr="00AC79E5" w:rsidRDefault="00810E7E" w:rsidP="00810E7E">
            <w:pPr>
              <w:jc w:val="center"/>
              <w:rPr>
                <w:rFonts w:ascii="Calibri" w:hAnsi="Calibri" w:cs="Calibri"/>
                <w:color w:val="000000"/>
                <w:sz w:val="22"/>
                <w:szCs w:val="22"/>
              </w:rPr>
            </w:pPr>
            <w:r>
              <w:rPr>
                <w:rFonts w:ascii="Calibri" w:hAnsi="Calibri" w:cs="Calibri"/>
                <w:color w:val="000000"/>
                <w:sz w:val="22"/>
                <w:szCs w:val="22"/>
              </w:rPr>
              <w:t>14</w:t>
            </w:r>
          </w:p>
        </w:tc>
        <w:tc>
          <w:tcPr>
            <w:tcW w:w="7680" w:type="dxa"/>
            <w:tcBorders>
              <w:top w:val="single" w:sz="4" w:space="0" w:color="auto"/>
              <w:left w:val="nil"/>
              <w:bottom w:val="single" w:sz="4" w:space="0" w:color="auto"/>
              <w:right w:val="single" w:sz="4" w:space="0" w:color="000000"/>
            </w:tcBorders>
            <w:shd w:val="clear" w:color="auto" w:fill="auto"/>
            <w:noWrap/>
            <w:vAlign w:val="center"/>
            <w:hideMark/>
          </w:tcPr>
          <w:p w:rsidR="004A5FA4" w:rsidRPr="00382D16" w:rsidRDefault="004A5FA4" w:rsidP="00382D16">
            <w:pPr>
              <w:rPr>
                <w:rFonts w:ascii="Arial" w:hAnsi="Arial" w:cs="Arial"/>
                <w:color w:val="000000"/>
              </w:rPr>
            </w:pPr>
            <w:r w:rsidRPr="00382D16">
              <w:rPr>
                <w:rFonts w:ascii="Arial" w:hAnsi="Arial" w:cs="Arial"/>
                <w:color w:val="000000"/>
              </w:rPr>
              <w:t>Invoicing (outgoing &amp; incoming with RPs).</w:t>
            </w:r>
          </w:p>
        </w:tc>
      </w:tr>
      <w:tr w:rsidR="004A5FA4" w:rsidRPr="00382D16" w:rsidTr="00382D1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A5FA4" w:rsidRPr="00AC79E5" w:rsidRDefault="00810E7E" w:rsidP="002B29F7">
            <w:pPr>
              <w:jc w:val="center"/>
              <w:rPr>
                <w:rFonts w:ascii="Calibri" w:hAnsi="Calibri" w:cs="Calibri"/>
                <w:color w:val="000000"/>
                <w:sz w:val="22"/>
                <w:szCs w:val="22"/>
              </w:rPr>
            </w:pPr>
            <w:r>
              <w:rPr>
                <w:rFonts w:ascii="Calibri" w:hAnsi="Calibri" w:cs="Calibri"/>
                <w:color w:val="000000"/>
                <w:sz w:val="22"/>
                <w:szCs w:val="22"/>
              </w:rPr>
              <w:t>15</w:t>
            </w:r>
          </w:p>
        </w:tc>
        <w:tc>
          <w:tcPr>
            <w:tcW w:w="7680" w:type="dxa"/>
            <w:tcBorders>
              <w:top w:val="single" w:sz="4" w:space="0" w:color="auto"/>
              <w:left w:val="nil"/>
              <w:bottom w:val="single" w:sz="4" w:space="0" w:color="auto"/>
              <w:right w:val="single" w:sz="4" w:space="0" w:color="000000"/>
            </w:tcBorders>
            <w:shd w:val="clear" w:color="auto" w:fill="auto"/>
            <w:noWrap/>
            <w:vAlign w:val="center"/>
            <w:hideMark/>
          </w:tcPr>
          <w:p w:rsidR="004A5FA4" w:rsidRPr="00382D16" w:rsidRDefault="004A5FA4" w:rsidP="00382D16">
            <w:pPr>
              <w:rPr>
                <w:rFonts w:ascii="Arial" w:hAnsi="Arial" w:cs="Arial"/>
                <w:color w:val="000000"/>
              </w:rPr>
            </w:pPr>
            <w:r w:rsidRPr="00382D16">
              <w:rPr>
                <w:rFonts w:ascii="Arial" w:hAnsi="Arial" w:cs="Arial"/>
                <w:color w:val="000000"/>
              </w:rPr>
              <w:t>Settlement</w:t>
            </w:r>
          </w:p>
        </w:tc>
      </w:tr>
      <w:tr w:rsidR="004A5FA4" w:rsidRPr="00382D16" w:rsidTr="00382D1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A5FA4" w:rsidRPr="00AC79E5" w:rsidRDefault="00810E7E" w:rsidP="002B29F7">
            <w:pPr>
              <w:jc w:val="center"/>
              <w:rPr>
                <w:rFonts w:ascii="Calibri" w:hAnsi="Calibri" w:cs="Calibri"/>
                <w:color w:val="000000"/>
                <w:sz w:val="22"/>
                <w:szCs w:val="22"/>
              </w:rPr>
            </w:pPr>
            <w:r>
              <w:rPr>
                <w:rFonts w:ascii="Calibri" w:hAnsi="Calibri" w:cs="Calibri"/>
                <w:color w:val="000000"/>
                <w:sz w:val="22"/>
                <w:szCs w:val="22"/>
              </w:rPr>
              <w:t>16</w:t>
            </w:r>
          </w:p>
        </w:tc>
        <w:tc>
          <w:tcPr>
            <w:tcW w:w="7680" w:type="dxa"/>
            <w:tcBorders>
              <w:top w:val="single" w:sz="4" w:space="0" w:color="auto"/>
              <w:left w:val="nil"/>
              <w:bottom w:val="single" w:sz="4" w:space="0" w:color="auto"/>
              <w:right w:val="single" w:sz="4" w:space="0" w:color="000000"/>
            </w:tcBorders>
            <w:shd w:val="clear" w:color="auto" w:fill="auto"/>
            <w:noWrap/>
            <w:vAlign w:val="center"/>
            <w:hideMark/>
          </w:tcPr>
          <w:p w:rsidR="004A5FA4" w:rsidRPr="00382D16" w:rsidRDefault="004A5FA4" w:rsidP="00382D16">
            <w:pPr>
              <w:rPr>
                <w:rFonts w:ascii="Arial" w:hAnsi="Arial" w:cs="Arial"/>
                <w:color w:val="000000"/>
              </w:rPr>
            </w:pPr>
            <w:r w:rsidRPr="00382D16">
              <w:rPr>
                <w:rFonts w:ascii="Arial" w:hAnsi="Arial" w:cs="Arial"/>
                <w:color w:val="000000"/>
              </w:rPr>
              <w:t>Financial Reporting / Keeping Records</w:t>
            </w:r>
          </w:p>
        </w:tc>
      </w:tr>
      <w:tr w:rsidR="004A5FA4" w:rsidRPr="00382D16" w:rsidTr="00382D1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4A5FA4" w:rsidRPr="00AC79E5" w:rsidRDefault="00810E7E" w:rsidP="002B29F7">
            <w:pPr>
              <w:jc w:val="center"/>
              <w:rPr>
                <w:rFonts w:ascii="Calibri" w:hAnsi="Calibri" w:cs="Calibri"/>
                <w:color w:val="000000"/>
                <w:sz w:val="22"/>
                <w:szCs w:val="22"/>
              </w:rPr>
            </w:pPr>
            <w:r>
              <w:rPr>
                <w:rFonts w:ascii="Calibri" w:hAnsi="Calibri" w:cs="Calibri"/>
                <w:color w:val="000000"/>
                <w:sz w:val="22"/>
                <w:szCs w:val="22"/>
              </w:rPr>
              <w:t>17</w:t>
            </w:r>
          </w:p>
        </w:tc>
        <w:tc>
          <w:tcPr>
            <w:tcW w:w="7680" w:type="dxa"/>
            <w:tcBorders>
              <w:top w:val="single" w:sz="4" w:space="0" w:color="auto"/>
              <w:left w:val="nil"/>
              <w:bottom w:val="single" w:sz="4" w:space="0" w:color="auto"/>
              <w:right w:val="single" w:sz="4" w:space="0" w:color="000000"/>
            </w:tcBorders>
            <w:shd w:val="clear" w:color="auto" w:fill="auto"/>
            <w:noWrap/>
            <w:vAlign w:val="center"/>
          </w:tcPr>
          <w:p w:rsidR="004A5FA4" w:rsidRPr="00382D16" w:rsidRDefault="004A5FA4" w:rsidP="00382D16">
            <w:pPr>
              <w:rPr>
                <w:rFonts w:ascii="Arial" w:hAnsi="Arial" w:cs="Arial"/>
                <w:color w:val="000000"/>
              </w:rPr>
            </w:pPr>
            <w:r w:rsidRPr="00382D16">
              <w:rPr>
                <w:rFonts w:ascii="Arial" w:hAnsi="Arial" w:cs="Arial"/>
                <w:color w:val="000000"/>
              </w:rPr>
              <w:t>DCH RAEX IOT &amp; Operational Data Service.</w:t>
            </w:r>
          </w:p>
        </w:tc>
      </w:tr>
      <w:tr w:rsidR="004A5FA4" w:rsidRPr="00382D16" w:rsidTr="00382D1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4A5FA4" w:rsidRPr="00AC79E5" w:rsidRDefault="00810E7E" w:rsidP="002B29F7">
            <w:pPr>
              <w:jc w:val="center"/>
              <w:rPr>
                <w:rFonts w:ascii="Calibri" w:hAnsi="Calibri" w:cs="Calibri"/>
                <w:color w:val="000000"/>
                <w:sz w:val="22"/>
                <w:szCs w:val="22"/>
              </w:rPr>
            </w:pPr>
            <w:r>
              <w:rPr>
                <w:rFonts w:ascii="Calibri" w:hAnsi="Calibri" w:cs="Calibri"/>
                <w:color w:val="000000"/>
                <w:sz w:val="22"/>
                <w:szCs w:val="22"/>
              </w:rPr>
              <w:t>18</w:t>
            </w:r>
          </w:p>
        </w:tc>
        <w:tc>
          <w:tcPr>
            <w:tcW w:w="7680" w:type="dxa"/>
            <w:tcBorders>
              <w:top w:val="single" w:sz="4" w:space="0" w:color="auto"/>
              <w:left w:val="nil"/>
              <w:bottom w:val="single" w:sz="4" w:space="0" w:color="auto"/>
              <w:right w:val="single" w:sz="4" w:space="0" w:color="000000"/>
            </w:tcBorders>
            <w:shd w:val="clear" w:color="auto" w:fill="auto"/>
            <w:noWrap/>
            <w:vAlign w:val="center"/>
          </w:tcPr>
          <w:p w:rsidR="004A5FA4" w:rsidRPr="00382D16" w:rsidRDefault="004A5FA4" w:rsidP="00382D16">
            <w:pPr>
              <w:rPr>
                <w:rFonts w:ascii="Arial" w:hAnsi="Arial" w:cs="Arial"/>
                <w:color w:val="000000"/>
              </w:rPr>
            </w:pPr>
            <w:r w:rsidRPr="00382D16">
              <w:rPr>
                <w:rFonts w:ascii="Arial" w:hAnsi="Arial" w:cs="Arial"/>
                <w:color w:val="000000"/>
              </w:rPr>
              <w:t xml:space="preserve">Detailed RPs IOTs List Standard &amp; special </w:t>
            </w:r>
          </w:p>
        </w:tc>
      </w:tr>
      <w:tr w:rsidR="004A5FA4" w:rsidRPr="00382D16" w:rsidTr="00382D1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A5FA4" w:rsidRPr="00AC79E5" w:rsidRDefault="00810E7E" w:rsidP="002B29F7">
            <w:pPr>
              <w:jc w:val="center"/>
              <w:rPr>
                <w:rFonts w:ascii="Calibri" w:hAnsi="Calibri" w:cs="Calibri"/>
                <w:color w:val="000000"/>
                <w:sz w:val="22"/>
                <w:szCs w:val="22"/>
              </w:rPr>
            </w:pPr>
            <w:r>
              <w:rPr>
                <w:rFonts w:ascii="Calibri" w:hAnsi="Calibri" w:cs="Calibri"/>
                <w:color w:val="000000"/>
                <w:sz w:val="22"/>
                <w:szCs w:val="22"/>
              </w:rPr>
              <w:t>19</w:t>
            </w:r>
          </w:p>
        </w:tc>
        <w:tc>
          <w:tcPr>
            <w:tcW w:w="7680" w:type="dxa"/>
            <w:tcBorders>
              <w:top w:val="single" w:sz="4" w:space="0" w:color="auto"/>
              <w:left w:val="nil"/>
              <w:bottom w:val="single" w:sz="4" w:space="0" w:color="auto"/>
              <w:right w:val="single" w:sz="4" w:space="0" w:color="000000"/>
            </w:tcBorders>
            <w:shd w:val="clear" w:color="auto" w:fill="auto"/>
            <w:noWrap/>
            <w:vAlign w:val="center"/>
            <w:hideMark/>
          </w:tcPr>
          <w:p w:rsidR="004A5FA4" w:rsidRPr="00382D16" w:rsidRDefault="004A5FA4" w:rsidP="00382D16">
            <w:pPr>
              <w:rPr>
                <w:rFonts w:ascii="Arial" w:hAnsi="Arial" w:cs="Arial"/>
                <w:color w:val="000000"/>
              </w:rPr>
            </w:pPr>
            <w:r w:rsidRPr="00382D16">
              <w:rPr>
                <w:rFonts w:ascii="Arial" w:hAnsi="Arial" w:cs="Arial"/>
                <w:color w:val="000000"/>
              </w:rPr>
              <w:t>PRA Management Services</w:t>
            </w:r>
          </w:p>
        </w:tc>
      </w:tr>
      <w:tr w:rsidR="004A5FA4" w:rsidRPr="00382D16" w:rsidTr="00382D1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A5FA4" w:rsidRPr="00AC79E5" w:rsidRDefault="00810E7E" w:rsidP="002B29F7">
            <w:pPr>
              <w:jc w:val="center"/>
              <w:rPr>
                <w:rFonts w:ascii="Calibri" w:hAnsi="Calibri" w:cs="Calibri"/>
                <w:color w:val="000000"/>
                <w:sz w:val="22"/>
                <w:szCs w:val="22"/>
              </w:rPr>
            </w:pPr>
            <w:r>
              <w:rPr>
                <w:rFonts w:ascii="Calibri" w:hAnsi="Calibri" w:cs="Calibri"/>
                <w:color w:val="000000"/>
                <w:sz w:val="22"/>
                <w:szCs w:val="22"/>
              </w:rPr>
              <w:t>20</w:t>
            </w:r>
          </w:p>
        </w:tc>
        <w:tc>
          <w:tcPr>
            <w:tcW w:w="7680" w:type="dxa"/>
            <w:tcBorders>
              <w:top w:val="single" w:sz="4" w:space="0" w:color="auto"/>
              <w:left w:val="nil"/>
              <w:bottom w:val="single" w:sz="4" w:space="0" w:color="auto"/>
              <w:right w:val="single" w:sz="4" w:space="0" w:color="000000"/>
            </w:tcBorders>
            <w:shd w:val="clear" w:color="auto" w:fill="auto"/>
            <w:noWrap/>
            <w:vAlign w:val="center"/>
            <w:hideMark/>
          </w:tcPr>
          <w:p w:rsidR="004A5FA4" w:rsidRPr="00382D16" w:rsidRDefault="004A5FA4" w:rsidP="00382D16">
            <w:pPr>
              <w:rPr>
                <w:rFonts w:ascii="Arial" w:hAnsi="Arial" w:cs="Arial"/>
                <w:color w:val="000000"/>
              </w:rPr>
            </w:pPr>
            <w:r w:rsidRPr="00382D16">
              <w:rPr>
                <w:rFonts w:ascii="Arial" w:hAnsi="Arial" w:cs="Arial"/>
                <w:color w:val="000000"/>
              </w:rPr>
              <w:t xml:space="preserve">GSM Operators List </w:t>
            </w:r>
          </w:p>
        </w:tc>
      </w:tr>
      <w:tr w:rsidR="004A5FA4" w:rsidRPr="00382D16" w:rsidTr="00382D1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A5FA4" w:rsidRPr="00AC79E5" w:rsidRDefault="00810E7E" w:rsidP="002B29F7">
            <w:pPr>
              <w:jc w:val="center"/>
              <w:rPr>
                <w:rFonts w:ascii="Calibri" w:hAnsi="Calibri" w:cs="Calibri"/>
                <w:color w:val="000000"/>
                <w:sz w:val="22"/>
                <w:szCs w:val="22"/>
              </w:rPr>
            </w:pPr>
            <w:r>
              <w:rPr>
                <w:rFonts w:ascii="Calibri" w:hAnsi="Calibri" w:cs="Calibri"/>
                <w:color w:val="000000"/>
                <w:sz w:val="22"/>
                <w:szCs w:val="22"/>
              </w:rPr>
              <w:t>21</w:t>
            </w:r>
          </w:p>
        </w:tc>
        <w:tc>
          <w:tcPr>
            <w:tcW w:w="7680" w:type="dxa"/>
            <w:tcBorders>
              <w:top w:val="single" w:sz="4" w:space="0" w:color="auto"/>
              <w:left w:val="nil"/>
              <w:bottom w:val="single" w:sz="4" w:space="0" w:color="auto"/>
              <w:right w:val="single" w:sz="4" w:space="0" w:color="000000"/>
            </w:tcBorders>
            <w:shd w:val="clear" w:color="auto" w:fill="auto"/>
            <w:noWrap/>
            <w:vAlign w:val="center"/>
            <w:hideMark/>
          </w:tcPr>
          <w:p w:rsidR="004A5FA4" w:rsidRPr="00382D16" w:rsidRDefault="004A5FA4" w:rsidP="00382D16">
            <w:pPr>
              <w:rPr>
                <w:rFonts w:ascii="Arial" w:hAnsi="Arial" w:cs="Arial"/>
                <w:color w:val="000000"/>
              </w:rPr>
            </w:pPr>
            <w:r w:rsidRPr="00382D16">
              <w:rPr>
                <w:rFonts w:ascii="Arial" w:hAnsi="Arial" w:cs="Arial"/>
                <w:color w:val="000000"/>
              </w:rPr>
              <w:t>SDR Exchange Rates</w:t>
            </w:r>
          </w:p>
        </w:tc>
      </w:tr>
    </w:tbl>
    <w:p w:rsidR="00AC79E5" w:rsidRDefault="00AC79E5"/>
    <w:p w:rsidR="00AC79E5" w:rsidRDefault="00AC79E5"/>
    <w:p w:rsidR="00AC79E5" w:rsidRDefault="00AC79E5"/>
    <w:sectPr w:rsidR="00AC7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F2257"/>
    <w:multiLevelType w:val="hybridMultilevel"/>
    <w:tmpl w:val="95707FC8"/>
    <w:lvl w:ilvl="0" w:tplc="6302A22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17F1405D"/>
    <w:multiLevelType w:val="hybridMultilevel"/>
    <w:tmpl w:val="95707FC8"/>
    <w:lvl w:ilvl="0" w:tplc="6302A22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1BEA1605"/>
    <w:multiLevelType w:val="hybridMultilevel"/>
    <w:tmpl w:val="0204A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C6B6C19"/>
    <w:multiLevelType w:val="hybridMultilevel"/>
    <w:tmpl w:val="FDF4463A"/>
    <w:lvl w:ilvl="0" w:tplc="6302A22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66DF45B1"/>
    <w:multiLevelType w:val="hybridMultilevel"/>
    <w:tmpl w:val="82407688"/>
    <w:lvl w:ilvl="0" w:tplc="6302A22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7CA102CA"/>
    <w:multiLevelType w:val="hybridMultilevel"/>
    <w:tmpl w:val="92A08B7C"/>
    <w:lvl w:ilvl="0" w:tplc="6302A22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7E2A7860"/>
    <w:multiLevelType w:val="multilevel"/>
    <w:tmpl w:val="732CC4E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599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2"/>
  </w:num>
  <w:num w:numId="5">
    <w:abstractNumId w:val="0"/>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9E5"/>
    <w:rsid w:val="00382D16"/>
    <w:rsid w:val="003D3009"/>
    <w:rsid w:val="004A5FA4"/>
    <w:rsid w:val="005E7A31"/>
    <w:rsid w:val="00810E7E"/>
    <w:rsid w:val="00874092"/>
    <w:rsid w:val="00AC79E5"/>
    <w:rsid w:val="00D833A2"/>
    <w:rsid w:val="00E70F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7ECB8"/>
  <w15:chartTrackingRefBased/>
  <w15:docId w15:val="{CB8680D6-DDA0-49F6-ACF9-A4E5A3C9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9E5"/>
    <w:pPr>
      <w:spacing w:after="0" w:line="240" w:lineRule="auto"/>
    </w:pPr>
    <w:rPr>
      <w:rFonts w:ascii="Times New Roman" w:eastAsia="Times New Roman" w:hAnsi="Times New Roman" w:cs="Times New Roman"/>
      <w:sz w:val="20"/>
      <w:szCs w:val="20"/>
    </w:rPr>
  </w:style>
  <w:style w:type="paragraph" w:styleId="Heading1">
    <w:name w:val="heading 1"/>
    <w:aliases w:val="h1,Head 1 (Chapter heading),1,app heading 1,l1,H1,Heading 2-SOW,R1,H11,Level 1 Topic Heading,E1,Chapter,Lev 1,hd1,AST Section heading,Heading One,Heading A"/>
    <w:basedOn w:val="Normal"/>
    <w:next w:val="Normal"/>
    <w:link w:val="Heading1Char"/>
    <w:uiPriority w:val="9"/>
    <w:qFormat/>
    <w:rsid w:val="00AC79E5"/>
    <w:pPr>
      <w:numPr>
        <w:numId w:val="1"/>
      </w:numPr>
      <w:spacing w:before="660" w:after="240" w:line="276" w:lineRule="auto"/>
      <w:contextualSpacing/>
      <w:jc w:val="both"/>
      <w:outlineLvl w:val="0"/>
    </w:pPr>
    <w:rPr>
      <w:rFonts w:asciiTheme="minorBidi" w:eastAsiaTheme="majorEastAsia" w:hAnsiTheme="minorBidi" w:cstheme="minorBidi"/>
      <w:smallCaps/>
      <w:color w:val="2F5496" w:themeColor="accent5" w:themeShade="BF"/>
      <w:kern w:val="32"/>
      <w:sz w:val="36"/>
      <w:szCs w:val="36"/>
    </w:rPr>
  </w:style>
  <w:style w:type="paragraph" w:styleId="Heading2">
    <w:name w:val="heading 2"/>
    <w:aliases w:val="h2,l2,list 2,list 2,heading 2TOC,Head 2,List level 2,2,Header 2,PA Major Section,Major Section,orderpara1,H2,Head2A,R2,heading 2,H21,Level 2 Topic Heading,Heading 2 + Numbering,H22,H211,H23,H212,H221,H2111,H24,H213,H222,H2112,H231,H2121,H2211"/>
    <w:basedOn w:val="Normal"/>
    <w:next w:val="Normal"/>
    <w:link w:val="Heading2Char"/>
    <w:uiPriority w:val="9"/>
    <w:semiHidden/>
    <w:unhideWhenUsed/>
    <w:qFormat/>
    <w:rsid w:val="00AC79E5"/>
    <w:pPr>
      <w:keepNext/>
      <w:numPr>
        <w:ilvl w:val="1"/>
        <w:numId w:val="1"/>
      </w:numPr>
      <w:spacing w:before="240" w:after="240"/>
      <w:outlineLvl w:val="1"/>
    </w:pPr>
    <w:rPr>
      <w:rFonts w:asciiTheme="majorBidi" w:eastAsiaTheme="majorEastAsia" w:hAnsiTheme="majorBidi" w:cstheme="majorBidi"/>
      <w:i/>
      <w:iCs/>
      <w:sz w:val="28"/>
      <w:szCs w:val="28"/>
    </w:rPr>
  </w:style>
  <w:style w:type="paragraph" w:styleId="Heading3">
    <w:name w:val="heading 3"/>
    <w:aliases w:val="3,orderpara2,h3,H3,Level 3 Topic Heading,Lev 3,head3,AST Heading 1.1.1,Heading Three,Heading 3 Char1,Heading 3 Char Char,H31 Char,h31 Char,h32 Char,Para3 Char,(Alt+3) Char,(Alt+3)1 Char,(Alt+3)2 Char,(Alt+3)3 Char,(Alt+3)4 Char,(Alt+3)5 Char"/>
    <w:basedOn w:val="Normal"/>
    <w:next w:val="Normal"/>
    <w:link w:val="Heading3Char"/>
    <w:semiHidden/>
    <w:unhideWhenUsed/>
    <w:qFormat/>
    <w:rsid w:val="00AC79E5"/>
    <w:pPr>
      <w:keepNext/>
      <w:numPr>
        <w:ilvl w:val="2"/>
        <w:numId w:val="1"/>
      </w:numPr>
      <w:spacing w:before="240" w:after="60"/>
      <w:outlineLvl w:val="2"/>
    </w:pPr>
    <w:rPr>
      <w:rFonts w:ascii="Arial" w:eastAsiaTheme="majorEastAsia" w:hAnsi="Arial" w:cstheme="majorBidi"/>
      <w:bCs/>
      <w:sz w:val="24"/>
      <w:szCs w:val="26"/>
    </w:rPr>
  </w:style>
  <w:style w:type="paragraph" w:styleId="Heading4">
    <w:name w:val="heading 4"/>
    <w:aliases w:val="h4"/>
    <w:basedOn w:val="Normal"/>
    <w:next w:val="Normal"/>
    <w:link w:val="Heading4Char"/>
    <w:semiHidden/>
    <w:unhideWhenUsed/>
    <w:qFormat/>
    <w:rsid w:val="00AC79E5"/>
    <w:pPr>
      <w:keepNext/>
      <w:numPr>
        <w:ilvl w:val="3"/>
        <w:numId w:val="1"/>
      </w:numPr>
      <w:spacing w:before="240" w:after="60"/>
      <w:ind w:left="1728"/>
      <w:outlineLvl w:val="3"/>
    </w:pPr>
    <w:rPr>
      <w:rFonts w:ascii="Arial" w:eastAsiaTheme="minorEastAsia" w:hAnsi="Arial" w:cstheme="minorBidi"/>
      <w:sz w:val="24"/>
      <w:szCs w:val="28"/>
    </w:rPr>
  </w:style>
  <w:style w:type="paragraph" w:styleId="Heading5">
    <w:name w:val="heading 5"/>
    <w:aliases w:val="Lev 5,Heading 5 Char1 Char,Heading 5 Char Char Char,Para5 Char Char Char,h5 Char Char Char,h51 Char Char Char,h52 Char Char Char,L5 Char Char Char,H5 Char Char Char,Level 3 - i Char Char Char,Document Title 2 Char Char Char,Para5 Char,h5,L5"/>
    <w:basedOn w:val="Normal"/>
    <w:next w:val="Normal"/>
    <w:link w:val="Heading5Char"/>
    <w:uiPriority w:val="9"/>
    <w:semiHidden/>
    <w:unhideWhenUsed/>
    <w:qFormat/>
    <w:rsid w:val="00AC79E5"/>
    <w:pPr>
      <w:numPr>
        <w:ilvl w:val="4"/>
        <w:numId w:val="1"/>
      </w:numPr>
      <w:spacing w:before="240" w:after="60"/>
      <w:outlineLvl w:val="4"/>
    </w:pPr>
    <w:rPr>
      <w:rFonts w:asciiTheme="minorHAnsi" w:eastAsiaTheme="minorEastAsia" w:hAnsiTheme="minorHAnsi" w:cstheme="minorBidi"/>
      <w:i/>
      <w:iCs/>
      <w:sz w:val="26"/>
      <w:szCs w:val="26"/>
    </w:rPr>
  </w:style>
  <w:style w:type="paragraph" w:styleId="Heading6">
    <w:name w:val="heading 6"/>
    <w:aliases w:val="Lev 6"/>
    <w:basedOn w:val="Normal"/>
    <w:next w:val="Normal"/>
    <w:link w:val="Heading6Char"/>
    <w:uiPriority w:val="9"/>
    <w:semiHidden/>
    <w:unhideWhenUsed/>
    <w:qFormat/>
    <w:rsid w:val="00AC79E5"/>
    <w:pPr>
      <w:numPr>
        <w:ilvl w:val="5"/>
        <w:numId w:val="1"/>
      </w:numPr>
      <w:spacing w:before="240" w:after="60"/>
      <w:outlineLvl w:val="5"/>
    </w:pPr>
    <w:rPr>
      <w:sz w:val="22"/>
      <w:szCs w:val="22"/>
    </w:rPr>
  </w:style>
  <w:style w:type="paragraph" w:styleId="Heading7">
    <w:name w:val="heading 7"/>
    <w:aliases w:val="Lev 7"/>
    <w:basedOn w:val="Normal"/>
    <w:next w:val="Normal"/>
    <w:link w:val="Heading7Char"/>
    <w:uiPriority w:val="9"/>
    <w:semiHidden/>
    <w:unhideWhenUsed/>
    <w:qFormat/>
    <w:rsid w:val="00AC79E5"/>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aliases w:val="Annex,Appendix,Lev 8"/>
    <w:basedOn w:val="Normal"/>
    <w:next w:val="Normal"/>
    <w:link w:val="Heading8Char"/>
    <w:uiPriority w:val="9"/>
    <w:semiHidden/>
    <w:unhideWhenUsed/>
    <w:qFormat/>
    <w:rsid w:val="00AC79E5"/>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aliases w:val="Annex1,Appen 1,Lev 9,Body text indent bulleted 2"/>
    <w:basedOn w:val="Normal"/>
    <w:next w:val="Normal"/>
    <w:link w:val="Heading9Char"/>
    <w:uiPriority w:val="9"/>
    <w:semiHidden/>
    <w:unhideWhenUsed/>
    <w:qFormat/>
    <w:rsid w:val="00AC79E5"/>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 1 (Chapter heading) Char,1 Char,app heading 1 Char,l1 Char,H1 Char,Heading 2-SOW Char,R1 Char,H11 Char,Level 1 Topic Heading Char,E1 Char,Chapter Char,Lev 1 Char,hd1 Char,AST Section heading Char,Heading One Char"/>
    <w:basedOn w:val="DefaultParagraphFont"/>
    <w:link w:val="Heading1"/>
    <w:uiPriority w:val="9"/>
    <w:rsid w:val="00AC79E5"/>
    <w:rPr>
      <w:rFonts w:asciiTheme="minorBidi" w:eastAsiaTheme="majorEastAsia" w:hAnsiTheme="minorBidi"/>
      <w:smallCaps/>
      <w:color w:val="2F5496" w:themeColor="accent5" w:themeShade="BF"/>
      <w:kern w:val="32"/>
      <w:sz w:val="36"/>
      <w:szCs w:val="36"/>
    </w:rPr>
  </w:style>
  <w:style w:type="character" w:customStyle="1" w:styleId="Heading2Char">
    <w:name w:val="Heading 2 Char"/>
    <w:aliases w:val="h2 Char,l2 Char,list 2 Char,list 2 Char,heading 2TOC Char,Head 2 Char,List level 2 Char,2 Char,Header 2 Char,PA Major Section Char,Major Section Char,orderpara1 Char,H2 Char,Head2A Char,R2 Char,heading 2 Char,H21 Char,H22 Char,H211 Char"/>
    <w:basedOn w:val="DefaultParagraphFont"/>
    <w:link w:val="Heading2"/>
    <w:uiPriority w:val="9"/>
    <w:semiHidden/>
    <w:rsid w:val="00AC79E5"/>
    <w:rPr>
      <w:rFonts w:asciiTheme="majorBidi" w:eastAsiaTheme="majorEastAsia" w:hAnsiTheme="majorBidi" w:cstheme="majorBidi"/>
      <w:i/>
      <w:iCs/>
      <w:sz w:val="28"/>
      <w:szCs w:val="28"/>
    </w:rPr>
  </w:style>
  <w:style w:type="character" w:customStyle="1" w:styleId="Heading3Char">
    <w:name w:val="Heading 3 Char"/>
    <w:aliases w:val="3 Char,orderpara2 Char,h3 Char,H3 Char,Level 3 Topic Heading Char,Lev 3 Char,head3 Char,AST Heading 1.1.1 Char,Heading Three Char,Heading 3 Char1 Char,Heading 3 Char Char Char,H31 Char Char,h31 Char Char,h32 Char Char,Para3 Char Char"/>
    <w:basedOn w:val="DefaultParagraphFont"/>
    <w:link w:val="Heading3"/>
    <w:semiHidden/>
    <w:rsid w:val="00AC79E5"/>
    <w:rPr>
      <w:rFonts w:ascii="Arial" w:eastAsiaTheme="majorEastAsia" w:hAnsi="Arial" w:cstheme="majorBidi"/>
      <w:bCs/>
      <w:sz w:val="24"/>
      <w:szCs w:val="26"/>
    </w:rPr>
  </w:style>
  <w:style w:type="character" w:customStyle="1" w:styleId="Heading4Char">
    <w:name w:val="Heading 4 Char"/>
    <w:aliases w:val="h4 Char"/>
    <w:basedOn w:val="DefaultParagraphFont"/>
    <w:link w:val="Heading4"/>
    <w:semiHidden/>
    <w:rsid w:val="00AC79E5"/>
    <w:rPr>
      <w:rFonts w:ascii="Arial" w:eastAsiaTheme="minorEastAsia" w:hAnsi="Arial"/>
      <w:sz w:val="24"/>
      <w:szCs w:val="28"/>
    </w:rPr>
  </w:style>
  <w:style w:type="character" w:customStyle="1" w:styleId="Heading5Char">
    <w:name w:val="Heading 5 Char"/>
    <w:aliases w:val="Lev 5 Char,Heading 5 Char1 Char Char,Heading 5 Char Char Char Char,Para5 Char Char Char Char,h5 Char Char Char Char,h51 Char Char Char Char,h52 Char Char Char Char,L5 Char Char Char Char,H5 Char Char Char Char,Para5 Char Char,h5 Char"/>
    <w:basedOn w:val="DefaultParagraphFont"/>
    <w:link w:val="Heading5"/>
    <w:uiPriority w:val="9"/>
    <w:semiHidden/>
    <w:rsid w:val="00AC79E5"/>
    <w:rPr>
      <w:rFonts w:eastAsiaTheme="minorEastAsia"/>
      <w:i/>
      <w:iCs/>
      <w:sz w:val="26"/>
      <w:szCs w:val="26"/>
    </w:rPr>
  </w:style>
  <w:style w:type="character" w:customStyle="1" w:styleId="Heading6Char">
    <w:name w:val="Heading 6 Char"/>
    <w:aliases w:val="Lev 6 Char"/>
    <w:basedOn w:val="DefaultParagraphFont"/>
    <w:link w:val="Heading6"/>
    <w:uiPriority w:val="9"/>
    <w:semiHidden/>
    <w:rsid w:val="00AC79E5"/>
    <w:rPr>
      <w:rFonts w:ascii="Times New Roman" w:eastAsia="Times New Roman" w:hAnsi="Times New Roman" w:cs="Times New Roman"/>
    </w:rPr>
  </w:style>
  <w:style w:type="character" w:customStyle="1" w:styleId="Heading7Char">
    <w:name w:val="Heading 7 Char"/>
    <w:aliases w:val="Lev 7 Char"/>
    <w:basedOn w:val="DefaultParagraphFont"/>
    <w:link w:val="Heading7"/>
    <w:uiPriority w:val="9"/>
    <w:semiHidden/>
    <w:rsid w:val="00AC79E5"/>
    <w:rPr>
      <w:rFonts w:eastAsiaTheme="minorEastAsia"/>
      <w:sz w:val="24"/>
      <w:szCs w:val="24"/>
    </w:rPr>
  </w:style>
  <w:style w:type="character" w:customStyle="1" w:styleId="Heading8Char">
    <w:name w:val="Heading 8 Char"/>
    <w:aliases w:val="Annex Char,Appendix Char,Lev 8 Char"/>
    <w:basedOn w:val="DefaultParagraphFont"/>
    <w:link w:val="Heading8"/>
    <w:uiPriority w:val="9"/>
    <w:semiHidden/>
    <w:rsid w:val="00AC79E5"/>
    <w:rPr>
      <w:rFonts w:eastAsiaTheme="minorEastAsia"/>
      <w:i/>
      <w:iCs/>
      <w:sz w:val="24"/>
      <w:szCs w:val="24"/>
    </w:rPr>
  </w:style>
  <w:style w:type="character" w:customStyle="1" w:styleId="Heading9Char">
    <w:name w:val="Heading 9 Char"/>
    <w:aliases w:val="Annex1 Char,Appen 1 Char,Lev 9 Char,Body text indent bulleted 2 Char"/>
    <w:basedOn w:val="DefaultParagraphFont"/>
    <w:link w:val="Heading9"/>
    <w:uiPriority w:val="9"/>
    <w:semiHidden/>
    <w:rsid w:val="00AC79E5"/>
    <w:rPr>
      <w:rFonts w:asciiTheme="majorHAnsi" w:eastAsiaTheme="majorEastAsia" w:hAnsiTheme="majorHAnsi" w:cstheme="majorBidi"/>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basedOn w:val="DefaultParagraphFont"/>
    <w:link w:val="ListParagraph"/>
    <w:uiPriority w:val="34"/>
    <w:locked/>
    <w:rsid w:val="00AC79E5"/>
    <w:rPr>
      <w:rFonts w:ascii="Arial" w:eastAsia="Times New Roman" w:hAnsi="Arial" w:cs="Times New Roman"/>
      <w:sz w:val="24"/>
      <w:szCs w:val="24"/>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AC79E5"/>
    <w:pPr>
      <w:ind w:left="720"/>
      <w:contextualSpacing/>
    </w:pPr>
    <w:rPr>
      <w:rFonts w:ascii="Arial" w:hAnsi="Arial"/>
      <w:sz w:val="24"/>
      <w:szCs w:val="24"/>
    </w:rPr>
  </w:style>
  <w:style w:type="table" w:styleId="TableGrid">
    <w:name w:val="Table Grid"/>
    <w:basedOn w:val="TableNormal"/>
    <w:uiPriority w:val="39"/>
    <w:rsid w:val="00AC7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114551">
      <w:bodyDiv w:val="1"/>
      <w:marLeft w:val="0"/>
      <w:marRight w:val="0"/>
      <w:marTop w:val="0"/>
      <w:marBottom w:val="0"/>
      <w:divBdr>
        <w:top w:val="none" w:sz="0" w:space="0" w:color="auto"/>
        <w:left w:val="none" w:sz="0" w:space="0" w:color="auto"/>
        <w:bottom w:val="none" w:sz="0" w:space="0" w:color="auto"/>
        <w:right w:val="none" w:sz="0" w:space="0" w:color="auto"/>
      </w:divBdr>
    </w:div>
    <w:div w:id="446704105">
      <w:bodyDiv w:val="1"/>
      <w:marLeft w:val="0"/>
      <w:marRight w:val="0"/>
      <w:marTop w:val="0"/>
      <w:marBottom w:val="0"/>
      <w:divBdr>
        <w:top w:val="none" w:sz="0" w:space="0" w:color="auto"/>
        <w:left w:val="none" w:sz="0" w:space="0" w:color="auto"/>
        <w:bottom w:val="none" w:sz="0" w:space="0" w:color="auto"/>
        <w:right w:val="none" w:sz="0" w:space="0" w:color="auto"/>
      </w:divBdr>
    </w:div>
    <w:div w:id="1020204580">
      <w:bodyDiv w:val="1"/>
      <w:marLeft w:val="0"/>
      <w:marRight w:val="0"/>
      <w:marTop w:val="0"/>
      <w:marBottom w:val="0"/>
      <w:divBdr>
        <w:top w:val="none" w:sz="0" w:space="0" w:color="auto"/>
        <w:left w:val="none" w:sz="0" w:space="0" w:color="auto"/>
        <w:bottom w:val="none" w:sz="0" w:space="0" w:color="auto"/>
        <w:right w:val="none" w:sz="0" w:space="0" w:color="auto"/>
      </w:divBdr>
    </w:div>
    <w:div w:id="1511020379">
      <w:bodyDiv w:val="1"/>
      <w:marLeft w:val="0"/>
      <w:marRight w:val="0"/>
      <w:marTop w:val="0"/>
      <w:marBottom w:val="0"/>
      <w:divBdr>
        <w:top w:val="none" w:sz="0" w:space="0" w:color="auto"/>
        <w:left w:val="none" w:sz="0" w:space="0" w:color="auto"/>
        <w:bottom w:val="none" w:sz="0" w:space="0" w:color="auto"/>
        <w:right w:val="none" w:sz="0" w:space="0" w:color="auto"/>
      </w:divBdr>
    </w:div>
    <w:div w:id="1667660306">
      <w:bodyDiv w:val="1"/>
      <w:marLeft w:val="0"/>
      <w:marRight w:val="0"/>
      <w:marTop w:val="0"/>
      <w:marBottom w:val="0"/>
      <w:divBdr>
        <w:top w:val="none" w:sz="0" w:space="0" w:color="auto"/>
        <w:left w:val="none" w:sz="0" w:space="0" w:color="auto"/>
        <w:bottom w:val="none" w:sz="0" w:space="0" w:color="auto"/>
        <w:right w:val="none" w:sz="0" w:space="0" w:color="auto"/>
      </w:divBdr>
    </w:div>
    <w:div w:id="179359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Marwan Zantout</dc:creator>
  <cp:keywords/>
  <dc:description/>
  <cp:lastModifiedBy>Rony Ghaname</cp:lastModifiedBy>
  <cp:revision>6</cp:revision>
  <dcterms:created xsi:type="dcterms:W3CDTF">2024-09-05T09:12:00Z</dcterms:created>
  <dcterms:modified xsi:type="dcterms:W3CDTF">2024-12-06T09:53:00Z</dcterms:modified>
</cp:coreProperties>
</file>