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E19A6" w14:textId="14924A34" w:rsidR="00CD0E5E" w:rsidRDefault="00CD0E5E" w:rsidP="00563BD9">
      <w:pPr>
        <w:rPr>
          <w:rFonts w:asciiTheme="majorBidi" w:hAnsiTheme="majorBidi" w:cstheme="majorBidi"/>
          <w:sz w:val="36"/>
          <w:szCs w:val="36"/>
        </w:rPr>
      </w:pPr>
      <w:r>
        <w:rPr>
          <w:rFonts w:asciiTheme="majorBidi" w:hAnsiTheme="majorBidi" w:cstheme="majorBidi"/>
          <w:sz w:val="36"/>
          <w:szCs w:val="36"/>
        </w:rPr>
        <w:t>Project Overview</w:t>
      </w:r>
    </w:p>
    <w:p w14:paraId="77437444" w14:textId="77777777" w:rsidR="003139C1" w:rsidRPr="003139C1" w:rsidRDefault="003139C1" w:rsidP="007E06F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3139C1">
        <w:rPr>
          <w:rFonts w:ascii="Times New Roman" w:eastAsia="Times New Roman" w:hAnsi="Times New Roman" w:cs="Times New Roman"/>
          <w:kern w:val="0"/>
          <w:sz w:val="24"/>
          <w:szCs w:val="24"/>
          <w14:ligatures w14:val="none"/>
        </w:rPr>
        <w:t>As part of our organization’s ongoing modernization and digitalization program, this Request for Proposal (RFP) aims to procure a comprehensive and scalable infrastructure solution to support current and future business needs. The demand from various internal entities for new servers, expanded storage, and improved service delivery continues to grow, requiring an infrastructure that is agile, resilient, and capable of rapid deployment.</w:t>
      </w:r>
    </w:p>
    <w:p w14:paraId="71D05221" w14:textId="77777777" w:rsidR="003139C1" w:rsidRPr="003139C1" w:rsidRDefault="003139C1" w:rsidP="007E06F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3139C1">
        <w:rPr>
          <w:rFonts w:ascii="Times New Roman" w:eastAsia="Times New Roman" w:hAnsi="Times New Roman" w:cs="Times New Roman"/>
          <w:kern w:val="0"/>
          <w:sz w:val="24"/>
          <w:szCs w:val="24"/>
          <w14:ligatures w14:val="none"/>
        </w:rPr>
        <w:t>This document outlines the technical requirements for the acquisition and implementation of a Hyper-Converged Infrastructure (HCI), Network-Attached Storage (NAS) solution, network switching equipment, and VMware licensing. The proposed infrastructure will be deployed in one of our data centers and is intended to enhance our operational capacity, improve performance, and ensure high availability for critical applications and services.</w:t>
      </w:r>
    </w:p>
    <w:p w14:paraId="5FEBBEE3" w14:textId="77777777" w:rsidR="003139C1" w:rsidRPr="003139C1" w:rsidRDefault="003139C1" w:rsidP="007E06F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3139C1">
        <w:rPr>
          <w:rFonts w:ascii="Times New Roman" w:eastAsia="Times New Roman" w:hAnsi="Times New Roman" w:cs="Times New Roman"/>
          <w:kern w:val="0"/>
          <w:sz w:val="24"/>
          <w:szCs w:val="24"/>
          <w14:ligatures w14:val="none"/>
        </w:rPr>
        <w:t>The technical specifications detailed herein define the minimum capabilities, standards, and features expected from bidders. Suppliers are required to provide solutions that comply fully with these requirements while ensuring compatibility, scalability, ease of management, and alignment with industry best practices.</w:t>
      </w:r>
    </w:p>
    <w:p w14:paraId="4B3563F6" w14:textId="2C0C847D" w:rsidR="00CD0E5E" w:rsidRPr="00CD0E5E" w:rsidRDefault="00CD0E5E" w:rsidP="00CD0E5E">
      <w:pPr>
        <w:rPr>
          <w:rFonts w:asciiTheme="majorBidi" w:hAnsiTheme="majorBidi" w:cstheme="majorBidi"/>
          <w:sz w:val="24"/>
          <w:szCs w:val="24"/>
        </w:rPr>
      </w:pPr>
    </w:p>
    <w:p w14:paraId="6929CB7C" w14:textId="479AD9DA" w:rsidR="00C53DCD" w:rsidRPr="00D64968" w:rsidRDefault="00E63A80" w:rsidP="00563BD9">
      <w:pPr>
        <w:rPr>
          <w:rFonts w:asciiTheme="majorBidi" w:hAnsiTheme="majorBidi" w:cstheme="majorBidi"/>
          <w:sz w:val="36"/>
          <w:szCs w:val="36"/>
        </w:rPr>
      </w:pPr>
      <w:r w:rsidRPr="00D64968">
        <w:rPr>
          <w:rFonts w:asciiTheme="majorBidi" w:hAnsiTheme="majorBidi" w:cstheme="majorBidi"/>
          <w:sz w:val="36"/>
          <w:szCs w:val="36"/>
        </w:rPr>
        <w:t>H</w:t>
      </w:r>
      <w:r w:rsidR="00563BD9">
        <w:rPr>
          <w:rFonts w:asciiTheme="majorBidi" w:hAnsiTheme="majorBidi" w:cstheme="majorBidi"/>
          <w:sz w:val="36"/>
          <w:szCs w:val="36"/>
        </w:rPr>
        <w:t xml:space="preserve">yper-Converged HCI Solution </w:t>
      </w:r>
    </w:p>
    <w:p w14:paraId="03705228" w14:textId="77777777" w:rsidR="00E63A80" w:rsidRPr="00E63A80" w:rsidRDefault="00E63A80" w:rsidP="00E63A80">
      <w:pPr>
        <w:pStyle w:val="ListParagraph"/>
        <w:numPr>
          <w:ilvl w:val="0"/>
          <w:numId w:val="8"/>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63A80">
        <w:rPr>
          <w:rFonts w:ascii="Times New Roman" w:eastAsia="Times New Roman" w:hAnsi="Times New Roman" w:cs="Times New Roman"/>
          <w:b/>
          <w:bCs/>
          <w:kern w:val="0"/>
          <w:sz w:val="27"/>
          <w:szCs w:val="27"/>
          <w14:ligatures w14:val="none"/>
        </w:rPr>
        <w:t>System Overview</w:t>
      </w:r>
    </w:p>
    <w:p w14:paraId="46798114" w14:textId="1FB4F462" w:rsidR="00675D6E" w:rsidRDefault="00675D6E" w:rsidP="00675D6E">
      <w:pPr>
        <w:pStyle w:val="NormalWeb"/>
        <w:ind w:left="360"/>
        <w:jc w:val="both"/>
      </w:pPr>
      <w:r>
        <w:t xml:space="preserve">The proposed solution shall be a scalable, fully integrated hyper-converged infrastructure (HCI) platform that consolidates compute, storage, and virtualization into a unified VMware-based architecture. The system must be built on VMware vSAN to ensure consistency and interoperability across the organization’s data centers, enabling a truly heterogeneous yet unified environment. It shall natively integrate with VMware vSphere and VMware vCenter to provide centralized management, streamlined operations, and simplified lifecycle management, while supporting VMware NSX for advanced network virtualization and security. The solution must deliver high availability through features such as stretched clusters, fault domains, and policy-based storage management, while ensuring non-disruptive scalability to meet evolving capacity and performance requirements. </w:t>
      </w:r>
      <w:r w:rsidR="00E63A80" w:rsidRPr="00E63A80">
        <w:t xml:space="preserve"> </w:t>
      </w:r>
    </w:p>
    <w:p w14:paraId="03465E30" w14:textId="77777777" w:rsidR="00E63A80" w:rsidRPr="00E63A80" w:rsidRDefault="00E63A80" w:rsidP="00E63A80">
      <w:pPr>
        <w:pStyle w:val="ListParagraph"/>
        <w:numPr>
          <w:ilvl w:val="0"/>
          <w:numId w:val="8"/>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63A80">
        <w:rPr>
          <w:rFonts w:ascii="Times New Roman" w:eastAsia="Times New Roman" w:hAnsi="Times New Roman" w:cs="Times New Roman"/>
          <w:b/>
          <w:bCs/>
          <w:kern w:val="0"/>
          <w:sz w:val="27"/>
          <w:szCs w:val="27"/>
          <w14:ligatures w14:val="none"/>
        </w:rPr>
        <w:t>Node Specifications</w:t>
      </w:r>
    </w:p>
    <w:p w14:paraId="63FDCA25" w14:textId="07E84D8D" w:rsidR="00675D6E" w:rsidRDefault="00675D6E" w:rsidP="00675D6E">
      <w:pPr>
        <w:pStyle w:val="NormalWeb"/>
        <w:ind w:left="360"/>
      </w:pPr>
      <w:r>
        <w:t xml:space="preserve">Each hyper-converged deployment </w:t>
      </w:r>
      <w:r w:rsidRPr="007B0FFC">
        <w:t xml:space="preserve">shall consist of </w:t>
      </w:r>
      <w:r w:rsidRPr="007B0FFC">
        <w:rPr>
          <w:rStyle w:val="Strong"/>
        </w:rPr>
        <w:t>four (4) nodes</w:t>
      </w:r>
      <w:r w:rsidRPr="007B0FFC">
        <w:t>, and each</w:t>
      </w:r>
      <w:r>
        <w:t xml:space="preserve"> node must meet or exceed the following minimum technical specifications:</w:t>
      </w:r>
    </w:p>
    <w:p w14:paraId="2A0ACE1B" w14:textId="7B919E71" w:rsidR="007E06F3" w:rsidRPr="00587CF5" w:rsidRDefault="00E63A80" w:rsidP="007E06F3">
      <w:pPr>
        <w:pStyle w:val="Heading3"/>
        <w:numPr>
          <w:ilvl w:val="1"/>
          <w:numId w:val="8"/>
        </w:numPr>
        <w:rPr>
          <w:sz w:val="24"/>
          <w:szCs w:val="24"/>
        </w:rPr>
      </w:pPr>
      <w:r w:rsidRPr="00587CF5">
        <w:t>Processors:</w:t>
      </w:r>
      <w:r w:rsidR="007E06F3" w:rsidRPr="007E06F3">
        <w:rPr>
          <w:sz w:val="24"/>
          <w:szCs w:val="24"/>
        </w:rPr>
        <w:t xml:space="preserve"> </w:t>
      </w:r>
    </w:p>
    <w:p w14:paraId="2289B9E1" w14:textId="006E7F00" w:rsidR="00E63A80" w:rsidRDefault="00E63A80" w:rsidP="007E06F3">
      <w:pPr>
        <w:pStyle w:val="NormalWeb"/>
        <w:ind w:left="360"/>
      </w:pPr>
      <w:r>
        <w:t xml:space="preserve">Dual high-performance CPUs with a minimum of </w:t>
      </w:r>
      <w:r>
        <w:rPr>
          <w:rStyle w:val="Strong"/>
        </w:rPr>
        <w:t>28 cores / 56 threads per processor</w:t>
      </w:r>
      <w:r>
        <w:t xml:space="preserve">, suitable for virtualization and intensive workloads. </w:t>
      </w:r>
    </w:p>
    <w:p w14:paraId="07CE5248" w14:textId="3423B1DB" w:rsidR="005E0089" w:rsidRDefault="005E0089" w:rsidP="00587CF5">
      <w:pPr>
        <w:pStyle w:val="NormalWeb"/>
        <w:ind w:left="360"/>
      </w:pPr>
      <w:r w:rsidRPr="00AF280A">
        <w:lastRenderedPageBreak/>
        <w:t>The system should support newer CPU generations</w:t>
      </w:r>
      <w:r>
        <w:t>:</w:t>
      </w:r>
    </w:p>
    <w:p w14:paraId="18ACB678" w14:textId="586ADF25" w:rsidR="00E63A80" w:rsidRDefault="00E63A80" w:rsidP="00587CF5">
      <w:pPr>
        <w:pStyle w:val="NormalWeb"/>
        <w:numPr>
          <w:ilvl w:val="2"/>
          <w:numId w:val="10"/>
        </w:numPr>
      </w:pPr>
      <w:r>
        <w:t xml:space="preserve">Intel Xeon Scalable Processors (e.g., </w:t>
      </w:r>
      <w:r w:rsidR="00F34612">
        <w:t xml:space="preserve">Gold or </w:t>
      </w:r>
      <w:r>
        <w:t>Platinum)</w:t>
      </w:r>
    </w:p>
    <w:p w14:paraId="16FF7E50" w14:textId="4EF03142" w:rsidR="005E0089" w:rsidRDefault="005E0089" w:rsidP="005E0089">
      <w:pPr>
        <w:pStyle w:val="NormalWeb"/>
        <w:ind w:left="1080"/>
      </w:pPr>
      <w:r>
        <w:t>OR</w:t>
      </w:r>
    </w:p>
    <w:p w14:paraId="34E0E93E" w14:textId="3FDDE776" w:rsidR="00E63A80" w:rsidRDefault="00E63A80" w:rsidP="00587CF5">
      <w:pPr>
        <w:pStyle w:val="NormalWeb"/>
        <w:numPr>
          <w:ilvl w:val="2"/>
          <w:numId w:val="10"/>
        </w:numPr>
      </w:pPr>
      <w:r>
        <w:t>AMD EPYC Processors (e.g., EPYC 7543, 7713P)</w:t>
      </w:r>
    </w:p>
    <w:p w14:paraId="3F0562FF" w14:textId="77777777" w:rsidR="007E06F3" w:rsidRDefault="007E06F3" w:rsidP="007E06F3">
      <w:pPr>
        <w:pStyle w:val="NormalWeb"/>
        <w:ind w:left="1080"/>
      </w:pPr>
    </w:p>
    <w:p w14:paraId="239560E6" w14:textId="77777777" w:rsidR="00E63A80" w:rsidRPr="00587CF5" w:rsidRDefault="00E63A80" w:rsidP="00587CF5">
      <w:pPr>
        <w:pStyle w:val="Heading3"/>
        <w:numPr>
          <w:ilvl w:val="1"/>
          <w:numId w:val="8"/>
        </w:numPr>
        <w:rPr>
          <w:sz w:val="24"/>
          <w:szCs w:val="24"/>
        </w:rPr>
      </w:pPr>
      <w:r w:rsidRPr="00587CF5">
        <w:rPr>
          <w:sz w:val="24"/>
          <w:szCs w:val="24"/>
        </w:rPr>
        <w:t>Memory (RAM):</w:t>
      </w:r>
    </w:p>
    <w:p w14:paraId="34B31931" w14:textId="77777777" w:rsidR="00E63A80" w:rsidRDefault="00E63A80" w:rsidP="00587CF5">
      <w:pPr>
        <w:pStyle w:val="NormalWeb"/>
        <w:ind w:left="360"/>
      </w:pPr>
      <w:r>
        <w:t xml:space="preserve">A minimum of </w:t>
      </w:r>
      <w:r w:rsidRPr="00587CF5">
        <w:rPr>
          <w:b/>
          <w:bCs/>
        </w:rPr>
        <w:t>2 TB RAM per node</w:t>
      </w:r>
      <w:r>
        <w:t xml:space="preserve">, using </w:t>
      </w:r>
      <w:r w:rsidRPr="00587CF5">
        <w:rPr>
          <w:b/>
          <w:bCs/>
        </w:rPr>
        <w:t>high-speed, enterprise-grade memory modules</w:t>
      </w:r>
      <w:r>
        <w:t xml:space="preserve"> such as:</w:t>
      </w:r>
    </w:p>
    <w:p w14:paraId="55DA4B22" w14:textId="77777777" w:rsidR="00E63A80" w:rsidRPr="00587CF5" w:rsidRDefault="00E63A80" w:rsidP="00587CF5">
      <w:pPr>
        <w:pStyle w:val="NormalWeb"/>
        <w:numPr>
          <w:ilvl w:val="2"/>
          <w:numId w:val="10"/>
        </w:numPr>
      </w:pPr>
      <w:r w:rsidRPr="00587CF5">
        <w:t>LRDIMM (Load-Reduced DIMM)</w:t>
      </w:r>
    </w:p>
    <w:p w14:paraId="32814B7E" w14:textId="77777777" w:rsidR="00E63A80" w:rsidRPr="00587CF5" w:rsidRDefault="00E63A80" w:rsidP="00587CF5">
      <w:pPr>
        <w:pStyle w:val="NormalWeb"/>
        <w:numPr>
          <w:ilvl w:val="2"/>
          <w:numId w:val="10"/>
        </w:numPr>
      </w:pPr>
      <w:r w:rsidRPr="00587CF5">
        <w:t>RDIMM (Registered DIMM)</w:t>
      </w:r>
    </w:p>
    <w:p w14:paraId="2539E915" w14:textId="50A98275" w:rsidR="00E63A80" w:rsidRPr="00587CF5" w:rsidRDefault="008F2993" w:rsidP="00587CF5">
      <w:pPr>
        <w:pStyle w:val="NormalWeb"/>
        <w:numPr>
          <w:ilvl w:val="2"/>
          <w:numId w:val="10"/>
        </w:numPr>
      </w:pPr>
      <w:r w:rsidRPr="008F2993">
        <w:t>DDR4 or</w:t>
      </w:r>
      <w:r w:rsidR="00E63A80" w:rsidRPr="00587CF5">
        <w:t xml:space="preserve"> DDR5 ECC Memory Modules, depending on platform compatibility</w:t>
      </w:r>
    </w:p>
    <w:p w14:paraId="39AF88F8" w14:textId="76320173" w:rsidR="00E63A80" w:rsidRPr="00587CF5" w:rsidRDefault="00E63A80" w:rsidP="00587CF5">
      <w:pPr>
        <w:pStyle w:val="NormalWeb"/>
        <w:numPr>
          <w:ilvl w:val="2"/>
          <w:numId w:val="10"/>
        </w:numPr>
      </w:pPr>
      <w:r w:rsidRPr="001D7137">
        <w:t xml:space="preserve">3200MT/s </w:t>
      </w:r>
      <w:r w:rsidR="00487E42" w:rsidRPr="001D7137">
        <w:t xml:space="preserve"> 4800MT/s</w:t>
      </w:r>
      <w:r w:rsidR="00487E42">
        <w:t xml:space="preserve"> </w:t>
      </w:r>
      <w:r w:rsidRPr="00587CF5">
        <w:t>or higher frequency for optimal data throughput</w:t>
      </w:r>
    </w:p>
    <w:p w14:paraId="1E2670BB" w14:textId="77777777" w:rsidR="00E63A80" w:rsidRDefault="00E63A80" w:rsidP="00587CF5">
      <w:pPr>
        <w:pStyle w:val="NormalWeb"/>
        <w:ind w:left="360"/>
      </w:pPr>
      <w:r>
        <w:t xml:space="preserve">Memory should be designed for </w:t>
      </w:r>
      <w:r>
        <w:rPr>
          <w:rStyle w:val="Strong"/>
        </w:rPr>
        <w:t>data center workloads</w:t>
      </w:r>
      <w:r>
        <w:t>, offering features such as:</w:t>
      </w:r>
    </w:p>
    <w:p w14:paraId="43BF7938" w14:textId="77777777" w:rsidR="00E63A80" w:rsidRPr="00587CF5" w:rsidRDefault="00E63A80" w:rsidP="00587CF5">
      <w:pPr>
        <w:pStyle w:val="NormalWeb"/>
        <w:numPr>
          <w:ilvl w:val="2"/>
          <w:numId w:val="10"/>
        </w:numPr>
      </w:pPr>
      <w:r w:rsidRPr="00587CF5">
        <w:t>Error Correction Code (ECC) for enhanced reliability</w:t>
      </w:r>
    </w:p>
    <w:p w14:paraId="239A3788" w14:textId="2E4045EA" w:rsidR="00E63A80" w:rsidRPr="00F21B9D" w:rsidRDefault="00F21B9D" w:rsidP="00587CF5">
      <w:pPr>
        <w:pStyle w:val="NormalWeb"/>
        <w:numPr>
          <w:ilvl w:val="2"/>
          <w:numId w:val="10"/>
        </w:numPr>
      </w:pPr>
      <w:r w:rsidRPr="00F21B9D">
        <w:t>Dual</w:t>
      </w:r>
      <w:r w:rsidR="00E63A80" w:rsidRPr="00F21B9D">
        <w:t>-Rank or higher density to optimize memory population</w:t>
      </w:r>
    </w:p>
    <w:p w14:paraId="6E511C3E" w14:textId="77777777" w:rsidR="00E63A80" w:rsidRPr="00587CF5" w:rsidRDefault="00E63A80" w:rsidP="00587CF5">
      <w:pPr>
        <w:pStyle w:val="NormalWeb"/>
        <w:numPr>
          <w:ilvl w:val="2"/>
          <w:numId w:val="10"/>
        </w:numPr>
      </w:pPr>
      <w:r w:rsidRPr="00587CF5">
        <w:t>Low-latency access for virtualization and high I/O applications</w:t>
      </w:r>
    </w:p>
    <w:p w14:paraId="38B56D6F" w14:textId="77777777" w:rsidR="00E63A80" w:rsidRPr="00587CF5" w:rsidRDefault="00E63A80" w:rsidP="00587CF5">
      <w:pPr>
        <w:pStyle w:val="NormalWeb"/>
        <w:numPr>
          <w:ilvl w:val="2"/>
          <w:numId w:val="10"/>
        </w:numPr>
      </w:pPr>
      <w:r w:rsidRPr="00587CF5">
        <w:t>Energy-efficient modules for optimized power consumption</w:t>
      </w:r>
    </w:p>
    <w:p w14:paraId="46F34E5B" w14:textId="77777777" w:rsidR="00E63A80" w:rsidRDefault="00587CF5" w:rsidP="00587CF5">
      <w:pPr>
        <w:pStyle w:val="NormalWeb"/>
        <w:numPr>
          <w:ilvl w:val="1"/>
          <w:numId w:val="8"/>
        </w:numPr>
        <w:rPr>
          <w:b/>
          <w:bCs/>
        </w:rPr>
      </w:pPr>
      <w:r w:rsidRPr="00587CF5">
        <w:rPr>
          <w:b/>
          <w:bCs/>
        </w:rPr>
        <w:t>Virtual Storage Drives:</w:t>
      </w:r>
    </w:p>
    <w:p w14:paraId="7F11D465" w14:textId="75F3CD05" w:rsidR="00587CF5" w:rsidRDefault="00587CF5" w:rsidP="00587CF5">
      <w:pPr>
        <w:pStyle w:val="NormalWeb"/>
        <w:ind w:left="360"/>
      </w:pPr>
      <w:r w:rsidRPr="00587CF5">
        <w:t>Each node must be equipped with enterprise-class SSDs optimized for virtualized storage environments, meeting the following criteria:</w:t>
      </w:r>
      <w:r w:rsidR="00CD5839">
        <w:t xml:space="preserve"> </w:t>
      </w:r>
    </w:p>
    <w:p w14:paraId="6A0E10A3" w14:textId="4FE9B4C2" w:rsidR="00D64968" w:rsidRDefault="00D64968" w:rsidP="00D64968">
      <w:pPr>
        <w:pStyle w:val="NormalWeb"/>
        <w:numPr>
          <w:ilvl w:val="2"/>
          <w:numId w:val="10"/>
        </w:numPr>
      </w:pPr>
      <w:r w:rsidRPr="00D64968">
        <w:rPr>
          <w:b/>
          <w:bCs/>
        </w:rPr>
        <w:t xml:space="preserve">Minimum 23 TB </w:t>
      </w:r>
      <w:r w:rsidR="00B97E68" w:rsidRPr="000378F0">
        <w:rPr>
          <w:b/>
          <w:bCs/>
        </w:rPr>
        <w:t>raw</w:t>
      </w:r>
      <w:r w:rsidRPr="00D64968">
        <w:rPr>
          <w:b/>
          <w:bCs/>
        </w:rPr>
        <w:t xml:space="preserve"> capacity per node,</w:t>
      </w:r>
      <w:r>
        <w:t xml:space="preserve"> based on installed SSDs</w:t>
      </w:r>
    </w:p>
    <w:p w14:paraId="38A1376C" w14:textId="77777777" w:rsidR="00D64968" w:rsidRDefault="00D64968" w:rsidP="00D64968">
      <w:pPr>
        <w:pStyle w:val="NormalWeb"/>
        <w:numPr>
          <w:ilvl w:val="2"/>
          <w:numId w:val="10"/>
        </w:numPr>
      </w:pPr>
      <w:r>
        <w:t xml:space="preserve">Read-Intensive classification, with an endurance rating of </w:t>
      </w:r>
      <w:r w:rsidRPr="00D64968">
        <w:rPr>
          <w:b/>
          <w:bCs/>
        </w:rPr>
        <w:t>≥1 DWPD</w:t>
      </w:r>
      <w:r>
        <w:t xml:space="preserve"> (Drive Writes Per Day)</w:t>
      </w:r>
    </w:p>
    <w:p w14:paraId="1BD80DE4" w14:textId="77777777" w:rsidR="00D64968" w:rsidRDefault="00D64968" w:rsidP="00D64968">
      <w:pPr>
        <w:pStyle w:val="NormalWeb"/>
        <w:numPr>
          <w:ilvl w:val="2"/>
          <w:numId w:val="10"/>
        </w:numPr>
      </w:pPr>
      <w:r>
        <w:t>Hot-pluggable drives to ensure easy maintenance and high availability</w:t>
      </w:r>
    </w:p>
    <w:p w14:paraId="4A99ADA2" w14:textId="77777777" w:rsidR="00D64968" w:rsidRDefault="00D64968" w:rsidP="00D64968">
      <w:pPr>
        <w:pStyle w:val="NormalWeb"/>
        <w:numPr>
          <w:ilvl w:val="2"/>
          <w:numId w:val="10"/>
        </w:numPr>
      </w:pPr>
      <w:r>
        <w:t>Fully compatible with software-defined storage (SDS) platforms and hyper-converged storage layers</w:t>
      </w:r>
    </w:p>
    <w:p w14:paraId="04A6F679" w14:textId="77777777" w:rsidR="00587CF5" w:rsidRDefault="00D64968" w:rsidP="00D64968">
      <w:pPr>
        <w:pStyle w:val="NormalWeb"/>
        <w:numPr>
          <w:ilvl w:val="2"/>
          <w:numId w:val="10"/>
        </w:numPr>
      </w:pPr>
      <w:r>
        <w:t>Must deliver sufficient IOPS and throughput to support diverse virtualized workloads, including databases, virtual desktops, and application servers</w:t>
      </w:r>
    </w:p>
    <w:p w14:paraId="144A3289" w14:textId="77777777" w:rsidR="00D64968" w:rsidRDefault="00D64968" w:rsidP="00D64968">
      <w:pPr>
        <w:pStyle w:val="NormalWeb"/>
        <w:numPr>
          <w:ilvl w:val="1"/>
          <w:numId w:val="8"/>
        </w:numPr>
        <w:rPr>
          <w:b/>
          <w:bCs/>
        </w:rPr>
      </w:pPr>
      <w:r w:rsidRPr="00D64968">
        <w:rPr>
          <w:b/>
          <w:bCs/>
        </w:rPr>
        <w:t>RAID &amp; OS Drive Redundancy:</w:t>
      </w:r>
    </w:p>
    <w:p w14:paraId="7D817C8B" w14:textId="77777777" w:rsidR="00D64968" w:rsidRDefault="00D64968" w:rsidP="00D64968">
      <w:pPr>
        <w:pStyle w:val="NormalWeb"/>
        <w:ind w:left="360"/>
      </w:pPr>
      <w:r>
        <w:t xml:space="preserve">Each node must include </w:t>
      </w:r>
      <w:r w:rsidRPr="00D64968">
        <w:rPr>
          <w:b/>
          <w:bCs/>
        </w:rPr>
        <w:t>local OS storage redundancy</w:t>
      </w:r>
      <w:r>
        <w:t xml:space="preserve"> using a dedicated RAID controller or boot-optimized subsystem (e.g., BOSS card or equivalent), with the following configuration:</w:t>
      </w:r>
    </w:p>
    <w:p w14:paraId="6B93EB56" w14:textId="047CF2C4" w:rsidR="00D64968" w:rsidRPr="00D64968" w:rsidRDefault="00D64968" w:rsidP="00D64968">
      <w:pPr>
        <w:pStyle w:val="NormalWeb"/>
        <w:numPr>
          <w:ilvl w:val="2"/>
          <w:numId w:val="10"/>
        </w:numPr>
      </w:pPr>
      <w:r w:rsidRPr="00D64968">
        <w:rPr>
          <w:b/>
          <w:bCs/>
        </w:rPr>
        <w:lastRenderedPageBreak/>
        <w:t xml:space="preserve">M.2 </w:t>
      </w:r>
      <w:r w:rsidR="00562034">
        <w:rPr>
          <w:b/>
          <w:bCs/>
        </w:rPr>
        <w:t>NVMEs 960Gb</w:t>
      </w:r>
      <w:r w:rsidRPr="00D64968">
        <w:t xml:space="preserve">, configured in </w:t>
      </w:r>
      <w:r w:rsidRPr="00D64968">
        <w:rPr>
          <w:b/>
          <w:bCs/>
        </w:rPr>
        <w:t>RAID 1</w:t>
      </w:r>
      <w:r w:rsidRPr="00D64968">
        <w:t xml:space="preserve"> to ensure operating system protection</w:t>
      </w:r>
    </w:p>
    <w:p w14:paraId="24B83269" w14:textId="77777777" w:rsidR="00D64968" w:rsidRPr="00D64968" w:rsidRDefault="00D64968" w:rsidP="00D64968">
      <w:pPr>
        <w:pStyle w:val="NormalWeb"/>
        <w:numPr>
          <w:ilvl w:val="2"/>
          <w:numId w:val="10"/>
        </w:numPr>
      </w:pPr>
      <w:r w:rsidRPr="00D64968">
        <w:t>Designed to support fast recovery, minimize downtime, and maintain high availability of the management/control plane</w:t>
      </w:r>
    </w:p>
    <w:p w14:paraId="4972BCD6" w14:textId="4769DE01" w:rsidR="00D64968" w:rsidRPr="00D64968" w:rsidRDefault="00D64968" w:rsidP="00D64968">
      <w:pPr>
        <w:pStyle w:val="NormalWeb"/>
        <w:numPr>
          <w:ilvl w:val="2"/>
          <w:numId w:val="10"/>
        </w:numPr>
      </w:pPr>
      <w:r w:rsidRPr="00D64968">
        <w:t>Drives must be enterprise-grade, offerin</w:t>
      </w:r>
      <w:r w:rsidR="00B40C24">
        <w:t>fleet</w:t>
      </w:r>
      <w:r w:rsidRPr="00D64968">
        <w:t>g stability and performance under continuous operation</w:t>
      </w:r>
    </w:p>
    <w:p w14:paraId="51C33DA6" w14:textId="67483912" w:rsidR="00D64968" w:rsidRDefault="00D64968" w:rsidP="00D64968">
      <w:pPr>
        <w:pStyle w:val="NormalWeb"/>
        <w:numPr>
          <w:ilvl w:val="2"/>
          <w:numId w:val="10"/>
        </w:numPr>
      </w:pPr>
      <w:r w:rsidRPr="00D64968">
        <w:t>The RAID configuration must be independent from the main data storage to isolate OS functions and enhance system reliability</w:t>
      </w:r>
    </w:p>
    <w:p w14:paraId="4A20F653" w14:textId="77777777" w:rsidR="00D64968" w:rsidRPr="00D64968" w:rsidRDefault="00D64968" w:rsidP="00D64968">
      <w:pPr>
        <w:pStyle w:val="NormalWeb"/>
        <w:numPr>
          <w:ilvl w:val="1"/>
          <w:numId w:val="8"/>
        </w:numPr>
      </w:pPr>
      <w:r w:rsidRPr="00D64968">
        <w:rPr>
          <w:b/>
          <w:bCs/>
        </w:rPr>
        <w:t>Networking:</w:t>
      </w:r>
    </w:p>
    <w:p w14:paraId="6D96B301" w14:textId="77777777" w:rsidR="00D64968" w:rsidRDefault="00D64968" w:rsidP="00D64968">
      <w:pPr>
        <w:pStyle w:val="NormalWeb"/>
        <w:ind w:left="360"/>
      </w:pPr>
      <w:r>
        <w:t xml:space="preserve">Minimum of </w:t>
      </w:r>
      <w:r w:rsidRPr="00D64968">
        <w:rPr>
          <w:b/>
          <w:bCs/>
        </w:rPr>
        <w:t xml:space="preserve">1 </w:t>
      </w:r>
      <w:r w:rsidRPr="00C86471">
        <w:rPr>
          <w:b/>
          <w:bCs/>
        </w:rPr>
        <w:t>x Quad</w:t>
      </w:r>
      <w:r w:rsidRPr="00D64968">
        <w:rPr>
          <w:b/>
          <w:bCs/>
        </w:rPr>
        <w:t>-Port 10/25GbE Network Interface Card (NIC)</w:t>
      </w:r>
      <w:r>
        <w:t xml:space="preserve"> with </w:t>
      </w:r>
      <w:r w:rsidRPr="00D64968">
        <w:rPr>
          <w:b/>
          <w:bCs/>
        </w:rPr>
        <w:t>SFP28</w:t>
      </w:r>
      <w:r>
        <w:t xml:space="preserve"> or equivalent ports.</w:t>
      </w:r>
    </w:p>
    <w:p w14:paraId="495E19EF" w14:textId="77777777" w:rsidR="00D64968" w:rsidRPr="00D64968" w:rsidRDefault="00D64968" w:rsidP="00D64968">
      <w:pPr>
        <w:pStyle w:val="NormalWeb"/>
        <w:numPr>
          <w:ilvl w:val="2"/>
          <w:numId w:val="10"/>
        </w:numPr>
      </w:pPr>
      <w:r w:rsidRPr="00D64968">
        <w:t>Fully licensed and enabled</w:t>
      </w:r>
    </w:p>
    <w:p w14:paraId="3A15C74E" w14:textId="77777777" w:rsidR="00D64968" w:rsidRPr="00D64968" w:rsidRDefault="00D64968" w:rsidP="00D64968">
      <w:pPr>
        <w:pStyle w:val="NormalWeb"/>
        <w:numPr>
          <w:ilvl w:val="2"/>
          <w:numId w:val="10"/>
        </w:numPr>
      </w:pPr>
      <w:r w:rsidRPr="00D64968">
        <w:t>Support for link aggregation, failover, and virtualization overlays (e.g., VXLAN)</w:t>
      </w:r>
    </w:p>
    <w:p w14:paraId="708BE13C" w14:textId="77777777" w:rsidR="00D64968" w:rsidRDefault="00D64968" w:rsidP="00D64968">
      <w:pPr>
        <w:pStyle w:val="NormalWeb"/>
        <w:numPr>
          <w:ilvl w:val="2"/>
          <w:numId w:val="10"/>
        </w:numPr>
      </w:pPr>
      <w:r w:rsidRPr="00D64968">
        <w:t>Compatibility with SDN and modern data center fabrics</w:t>
      </w:r>
    </w:p>
    <w:p w14:paraId="72831316" w14:textId="692FCF19" w:rsidR="00487E42" w:rsidRPr="00D64968" w:rsidRDefault="00487E42" w:rsidP="005E46E5">
      <w:pPr>
        <w:pStyle w:val="NormalWeb"/>
        <w:ind w:firstLine="360"/>
      </w:pPr>
      <w:r w:rsidRPr="005E46E5">
        <w:t xml:space="preserve">Minimum </w:t>
      </w:r>
      <w:r w:rsidR="00562034" w:rsidRPr="005E46E5">
        <w:t>2</w:t>
      </w:r>
      <w:r w:rsidRPr="001D7137">
        <w:t xml:space="preserve"> </w:t>
      </w:r>
      <w:r w:rsidR="005E46E5">
        <w:t xml:space="preserve">x </w:t>
      </w:r>
      <w:r w:rsidRPr="001D7137">
        <w:t>1G</w:t>
      </w:r>
      <w:r w:rsidR="005E46E5">
        <w:t>b</w:t>
      </w:r>
      <w:r w:rsidRPr="001D7137">
        <w:t xml:space="preserve"> Ports to handle management, vMotion and DMZ connections</w:t>
      </w:r>
      <w:r w:rsidRPr="00871379">
        <w:t>.</w:t>
      </w:r>
    </w:p>
    <w:p w14:paraId="414CBC33" w14:textId="77777777" w:rsidR="00D64968" w:rsidRPr="00D64968" w:rsidRDefault="00D64968" w:rsidP="00D64968">
      <w:pPr>
        <w:pStyle w:val="NormalWeb"/>
        <w:numPr>
          <w:ilvl w:val="1"/>
          <w:numId w:val="8"/>
        </w:numPr>
        <w:rPr>
          <w:b/>
          <w:bCs/>
        </w:rPr>
      </w:pPr>
      <w:r w:rsidRPr="00D64968">
        <w:rPr>
          <w:b/>
          <w:bCs/>
        </w:rPr>
        <w:t>Virtualization Software:</w:t>
      </w:r>
    </w:p>
    <w:p w14:paraId="2AC28943" w14:textId="77777777" w:rsidR="00675D6E" w:rsidRDefault="00675D6E" w:rsidP="00675D6E">
      <w:pPr>
        <w:pStyle w:val="NormalWeb"/>
        <w:ind w:left="360"/>
      </w:pPr>
      <w:r w:rsidRPr="00CE643F">
        <w:t>Each proposed HCI node must be pre-installed with or fully compatible with VMware vSphere Enterprise Plus.</w:t>
      </w:r>
      <w:r>
        <w:t>:</w:t>
      </w:r>
    </w:p>
    <w:p w14:paraId="04189D92" w14:textId="77777777" w:rsidR="00675D6E" w:rsidRDefault="00675D6E" w:rsidP="00675D6E">
      <w:pPr>
        <w:pStyle w:val="NormalWeb"/>
        <w:ind w:left="360"/>
      </w:pPr>
      <w:r>
        <w:t>The proposed VMware licensing must include, at minimum, the following advanced enterprise features:</w:t>
      </w:r>
    </w:p>
    <w:p w14:paraId="3F618F6E" w14:textId="44CD8F8F" w:rsidR="00675D6E" w:rsidRDefault="00562034" w:rsidP="00675D6E">
      <w:pPr>
        <w:pStyle w:val="NormalWeb"/>
        <w:numPr>
          <w:ilvl w:val="0"/>
          <w:numId w:val="22"/>
        </w:numPr>
      </w:pPr>
      <w:r w:rsidRPr="00250DE1">
        <w:rPr>
          <w:rStyle w:val="Strong"/>
        </w:rPr>
        <w:t>VMware vSphere Foundation – VVF or higher</w:t>
      </w:r>
      <w:r w:rsidR="00675D6E">
        <w:br/>
        <w:t>Provides the most comprehensive edition of VMware vSphere, including advanced features for performance, scalability, security, and resource management. It must support large-scale enterprise workloads and integration with vCenter for centralized administration.</w:t>
      </w:r>
    </w:p>
    <w:p w14:paraId="1CC83AF1" w14:textId="77777777" w:rsidR="00675D6E" w:rsidRDefault="00675D6E" w:rsidP="00675D6E">
      <w:pPr>
        <w:pStyle w:val="NormalWeb"/>
        <w:numPr>
          <w:ilvl w:val="0"/>
          <w:numId w:val="22"/>
        </w:numPr>
      </w:pPr>
      <w:r w:rsidRPr="00250DE1">
        <w:rPr>
          <w:b/>
          <w:bCs/>
        </w:rPr>
        <w:t>vMotion</w:t>
      </w:r>
      <w:r>
        <w:rPr>
          <w:rStyle w:val="Strong"/>
        </w:rPr>
        <w:t xml:space="preserve"> / Live Migration</w:t>
      </w:r>
      <w:r>
        <w:br/>
        <w:t>Must allow the seamless live migration of running virtual machines between physical hosts without downtime, ensuring continuous availability of applications and minimal disruption during maintenance or load balancing.</w:t>
      </w:r>
    </w:p>
    <w:p w14:paraId="4889EA12" w14:textId="77777777" w:rsidR="00675D6E" w:rsidRDefault="00675D6E" w:rsidP="00675D6E">
      <w:pPr>
        <w:pStyle w:val="NormalWeb"/>
        <w:numPr>
          <w:ilvl w:val="0"/>
          <w:numId w:val="22"/>
        </w:numPr>
      </w:pPr>
      <w:r w:rsidRPr="00250DE1">
        <w:rPr>
          <w:b/>
          <w:bCs/>
        </w:rPr>
        <w:t>High</w:t>
      </w:r>
      <w:r>
        <w:rPr>
          <w:rStyle w:val="Strong"/>
        </w:rPr>
        <w:t xml:space="preserve"> Availability (HA)</w:t>
      </w:r>
      <w:r>
        <w:br/>
        <w:t>Must provide automated failover for virtual machines in the event of host or hardware failure, minimizing downtime and ensuring critical business applications remain available.</w:t>
      </w:r>
    </w:p>
    <w:p w14:paraId="6DE5890E" w14:textId="77777777" w:rsidR="00675D6E" w:rsidRDefault="00675D6E" w:rsidP="00675D6E">
      <w:pPr>
        <w:pStyle w:val="NormalWeb"/>
        <w:numPr>
          <w:ilvl w:val="0"/>
          <w:numId w:val="22"/>
        </w:numPr>
      </w:pPr>
      <w:r w:rsidRPr="00250DE1">
        <w:rPr>
          <w:b/>
          <w:bCs/>
        </w:rPr>
        <w:t>Distributed</w:t>
      </w:r>
      <w:r>
        <w:rPr>
          <w:rStyle w:val="Strong"/>
        </w:rPr>
        <w:t xml:space="preserve"> Resource Scheduler (DRS)</w:t>
      </w:r>
      <w:r>
        <w:br/>
        <w:t>Must intelligently balance and allocate computing resources across the cluster by automatically migrating virtual machines using vMotion, optimizing performance and preventing resource contention.</w:t>
      </w:r>
    </w:p>
    <w:p w14:paraId="19C7DA18" w14:textId="77777777" w:rsidR="00675D6E" w:rsidRDefault="00675D6E" w:rsidP="00675D6E">
      <w:pPr>
        <w:pStyle w:val="NormalWeb"/>
        <w:numPr>
          <w:ilvl w:val="0"/>
          <w:numId w:val="22"/>
        </w:numPr>
      </w:pPr>
      <w:r w:rsidRPr="00250DE1">
        <w:rPr>
          <w:b/>
          <w:bCs/>
        </w:rPr>
        <w:t>Support</w:t>
      </w:r>
      <w:r>
        <w:rPr>
          <w:rStyle w:val="Strong"/>
        </w:rPr>
        <w:t xml:space="preserve"> and Subscription Term (Minimum 3 Years)</w:t>
      </w:r>
      <w:r>
        <w:br/>
        <w:t xml:space="preserve">The solution must include at least three (3) years of VMware Support and Subscription </w:t>
      </w:r>
      <w:r>
        <w:lastRenderedPageBreak/>
        <w:t>(SnS), covering software updates, patches, security fixes, and direct vendor technical support to ensure stability, security, and ongoing compatibility with VMware’s product roadmap.</w:t>
      </w:r>
    </w:p>
    <w:p w14:paraId="3EB75115" w14:textId="77777777" w:rsidR="00D64968" w:rsidRPr="007E06F3" w:rsidRDefault="00D64968" w:rsidP="00D64968">
      <w:pPr>
        <w:pStyle w:val="NormalWeb"/>
        <w:numPr>
          <w:ilvl w:val="1"/>
          <w:numId w:val="8"/>
        </w:numPr>
        <w:rPr>
          <w:rStyle w:val="Strong"/>
          <w:b w:val="0"/>
          <w:bCs w:val="0"/>
        </w:rPr>
      </w:pPr>
      <w:r w:rsidRPr="007E06F3">
        <w:rPr>
          <w:rStyle w:val="Strong"/>
        </w:rPr>
        <w:t>Power Supply:</w:t>
      </w:r>
    </w:p>
    <w:p w14:paraId="19AE5A6A" w14:textId="77777777" w:rsidR="00D64968" w:rsidRDefault="00D64968" w:rsidP="00D64968">
      <w:pPr>
        <w:pStyle w:val="NormalWeb"/>
        <w:ind w:left="360"/>
      </w:pPr>
      <w:r>
        <w:t xml:space="preserve">Each node must include </w:t>
      </w:r>
      <w:r>
        <w:rPr>
          <w:rStyle w:val="Strong"/>
        </w:rPr>
        <w:t>redundant, hot-plug, high-efficiency power supply units</w:t>
      </w:r>
      <w:r>
        <w:t xml:space="preserve">, e.g., </w:t>
      </w:r>
      <w:r>
        <w:rPr>
          <w:rStyle w:val="Strong"/>
        </w:rPr>
        <w:t>1100W or higher</w:t>
      </w:r>
      <w:r>
        <w:t>, and support:</w:t>
      </w:r>
    </w:p>
    <w:p w14:paraId="50CF486F" w14:textId="77777777" w:rsidR="00D64968" w:rsidRPr="00D64968" w:rsidRDefault="00D64968" w:rsidP="00D64968">
      <w:pPr>
        <w:pStyle w:val="NormalWeb"/>
        <w:numPr>
          <w:ilvl w:val="2"/>
          <w:numId w:val="10"/>
        </w:numPr>
      </w:pPr>
      <w:r w:rsidRPr="00D64968">
        <w:t>Automatic failover</w:t>
      </w:r>
    </w:p>
    <w:p w14:paraId="3B1A9F72" w14:textId="77777777" w:rsidR="00D64968" w:rsidRPr="00D64968" w:rsidRDefault="00D64968" w:rsidP="00D64968">
      <w:pPr>
        <w:pStyle w:val="NormalWeb"/>
        <w:numPr>
          <w:ilvl w:val="2"/>
          <w:numId w:val="10"/>
        </w:numPr>
      </w:pPr>
      <w:r w:rsidRPr="00D64968">
        <w:t>Power load balancing</w:t>
      </w:r>
    </w:p>
    <w:p w14:paraId="07639915" w14:textId="77777777" w:rsidR="00D64968" w:rsidRPr="00D64968" w:rsidRDefault="00D64968" w:rsidP="00D64968">
      <w:pPr>
        <w:pStyle w:val="NormalWeb"/>
        <w:numPr>
          <w:ilvl w:val="2"/>
          <w:numId w:val="10"/>
        </w:numPr>
      </w:pPr>
      <w:r w:rsidRPr="00D64968">
        <w:t>Energy efficiency (80 PLUS Platinum or Titanium certification)</w:t>
      </w:r>
    </w:p>
    <w:p w14:paraId="12F464BE" w14:textId="77777777" w:rsidR="00D64968" w:rsidRPr="00D64968" w:rsidRDefault="00D64968" w:rsidP="00D64968">
      <w:pPr>
        <w:pStyle w:val="NormalWeb"/>
        <w:ind w:left="792"/>
      </w:pPr>
    </w:p>
    <w:p w14:paraId="44C983A5" w14:textId="77777777" w:rsidR="00D77DF0" w:rsidRDefault="00D77DF0">
      <w:pPr>
        <w:rPr>
          <w:rFonts w:ascii="Times New Roman" w:eastAsia="Times New Roman" w:hAnsi="Times New Roman" w:cs="Times New Roman"/>
          <w:b/>
          <w:bCs/>
          <w:kern w:val="0"/>
          <w:sz w:val="24"/>
          <w:szCs w:val="24"/>
          <w14:ligatures w14:val="none"/>
        </w:rPr>
      </w:pPr>
      <w:r>
        <w:rPr>
          <w:b/>
          <w:bCs/>
        </w:rPr>
        <w:br w:type="page"/>
      </w:r>
    </w:p>
    <w:p w14:paraId="01CC3ABF" w14:textId="77777777" w:rsidR="00D77DF0" w:rsidRPr="00D64968" w:rsidRDefault="00D77DF0" w:rsidP="00D77DF0">
      <w:pPr>
        <w:jc w:val="center"/>
        <w:rPr>
          <w:rFonts w:asciiTheme="majorBidi" w:hAnsiTheme="majorBidi" w:cstheme="majorBidi"/>
          <w:sz w:val="36"/>
          <w:szCs w:val="36"/>
        </w:rPr>
      </w:pPr>
      <w:r w:rsidRPr="001C6307">
        <w:rPr>
          <w:rFonts w:asciiTheme="majorBidi" w:hAnsiTheme="majorBidi" w:cstheme="majorBidi"/>
          <w:sz w:val="36"/>
          <w:szCs w:val="36"/>
        </w:rPr>
        <w:lastRenderedPageBreak/>
        <w:t>STORAGE SOLUTION</w:t>
      </w:r>
      <w:r w:rsidRPr="00D64968">
        <w:rPr>
          <w:rFonts w:asciiTheme="majorBidi" w:hAnsiTheme="majorBidi" w:cstheme="majorBidi"/>
          <w:sz w:val="36"/>
          <w:szCs w:val="36"/>
        </w:rPr>
        <w:t xml:space="preserve"> </w:t>
      </w:r>
    </w:p>
    <w:p w14:paraId="12F650C9" w14:textId="77777777" w:rsidR="00D77DF0" w:rsidRPr="00E63A80" w:rsidRDefault="00D77DF0" w:rsidP="00D77DF0">
      <w:pPr>
        <w:pStyle w:val="ListParagraph"/>
        <w:numPr>
          <w:ilvl w:val="0"/>
          <w:numId w:val="8"/>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63A80">
        <w:rPr>
          <w:rFonts w:ascii="Times New Roman" w:eastAsia="Times New Roman" w:hAnsi="Times New Roman" w:cs="Times New Roman"/>
          <w:b/>
          <w:bCs/>
          <w:kern w:val="0"/>
          <w:sz w:val="27"/>
          <w:szCs w:val="27"/>
          <w14:ligatures w14:val="none"/>
        </w:rPr>
        <w:t>System Overview</w:t>
      </w:r>
    </w:p>
    <w:p w14:paraId="711C1375" w14:textId="29F98791" w:rsidR="00675D6E" w:rsidRDefault="00675D6E" w:rsidP="00D77DF0">
      <w:pPr>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sidRPr="00675D6E">
        <w:rPr>
          <w:rFonts w:ascii="Times New Roman" w:eastAsia="Times New Roman" w:hAnsi="Times New Roman" w:cs="Times New Roman"/>
          <w:kern w:val="0"/>
          <w:sz w:val="24"/>
          <w:szCs w:val="24"/>
          <w14:ligatures w14:val="none"/>
        </w:rPr>
        <w:t>NAS storage solution shall be an enterprise-grade hybrid system designed to deliver high availability, performance, and scalability across diverse workloads including file services, virtualized environments, backups, archiving, and both structured and unstructured data storage. It must function as an extension to the organization’s existing NAS at the main site, with mandatory integration into the current Dell EMC environment, enabling replication of designated file systems using the existing NAS storage replication feature. The solution shall incorporate efficient data management capabilities such as tiering, deduplication, compression, and snapshots, while ensuring strong security through encryption in transit and at rest, role-based access control, and integration with enterprise authentication services. It must support a scale-out architecture for non-disruptive expansion of capacity and performance, natively support industry-standard protocols including NFS v3/v4.1, SMB3, and S3-compatible object access, and provide documented APIs to guarantee seamless integration with management and monitoring tools. Bidders may propose Dell EMC PowerScale or an equivalent solution; however, any equivalent offering must demonstrate full functional compatibility with the existing environment in terms of authentication, replication, data migration tools, and management APIs. To ensure compliance, the procuring entity will define pass/fail acceptance tests, and bidders must agree to participate in and support onsite interoperability testing as part of the acceptance process.</w:t>
      </w:r>
    </w:p>
    <w:p w14:paraId="41ED23B3" w14:textId="77777777" w:rsidR="00D77DF0" w:rsidRPr="00A37AED" w:rsidRDefault="00D77DF0" w:rsidP="00D77DF0">
      <w:pPr>
        <w:pStyle w:val="ListParagraph"/>
        <w:numPr>
          <w:ilvl w:val="0"/>
          <w:numId w:val="8"/>
        </w:num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1C6307">
        <w:rPr>
          <w:rFonts w:ascii="Times New Roman" w:eastAsia="Times New Roman" w:hAnsi="Times New Roman" w:cs="Times New Roman"/>
          <w:b/>
          <w:bCs/>
          <w:kern w:val="0"/>
          <w:sz w:val="27"/>
          <w:szCs w:val="27"/>
          <w14:ligatures w14:val="none"/>
        </w:rPr>
        <w:t>Storage Capacity:</w:t>
      </w:r>
    </w:p>
    <w:p w14:paraId="417F5DDF" w14:textId="5E9C3EF4" w:rsidR="00D77DF0" w:rsidRPr="00A37AED" w:rsidRDefault="00D77DF0" w:rsidP="00D77DF0">
      <w:pPr>
        <w:pStyle w:val="Heading3"/>
        <w:numPr>
          <w:ilvl w:val="1"/>
          <w:numId w:val="8"/>
        </w:numPr>
        <w:rPr>
          <w:sz w:val="24"/>
          <w:szCs w:val="24"/>
        </w:rPr>
      </w:pPr>
      <w:r w:rsidRPr="00A37AED">
        <w:rPr>
          <w:sz w:val="24"/>
          <w:szCs w:val="24"/>
        </w:rPr>
        <w:t xml:space="preserve">Initial </w:t>
      </w:r>
      <w:r w:rsidR="00F34612">
        <w:rPr>
          <w:sz w:val="24"/>
          <w:szCs w:val="24"/>
        </w:rPr>
        <w:t>Raw</w:t>
      </w:r>
      <w:r w:rsidRPr="00A37AED">
        <w:rPr>
          <w:sz w:val="24"/>
          <w:szCs w:val="24"/>
        </w:rPr>
        <w:t xml:space="preserve"> Capacity:</w:t>
      </w:r>
    </w:p>
    <w:p w14:paraId="4E4117AA" w14:textId="422E22A4" w:rsidR="00D77DF0" w:rsidRPr="00A37AED" w:rsidRDefault="00D77DF0" w:rsidP="00D77DF0">
      <w:pPr>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sidRPr="00A37AED">
        <w:rPr>
          <w:rFonts w:ascii="Times New Roman" w:eastAsia="Times New Roman" w:hAnsi="Times New Roman" w:cs="Times New Roman"/>
          <w:kern w:val="0"/>
          <w:sz w:val="24"/>
          <w:szCs w:val="24"/>
          <w14:ligatures w14:val="none"/>
        </w:rPr>
        <w:t xml:space="preserve">Minimum of </w:t>
      </w:r>
      <w:r w:rsidRPr="00A37AED">
        <w:rPr>
          <w:rFonts w:ascii="Times New Roman" w:eastAsia="Times New Roman" w:hAnsi="Times New Roman" w:cs="Times New Roman"/>
          <w:b/>
          <w:bCs/>
          <w:kern w:val="0"/>
          <w:sz w:val="24"/>
          <w:szCs w:val="24"/>
          <w14:ligatures w14:val="none"/>
        </w:rPr>
        <w:t xml:space="preserve">240 </w:t>
      </w:r>
      <w:r w:rsidRPr="00960CA2">
        <w:rPr>
          <w:rFonts w:ascii="Times New Roman" w:eastAsia="Times New Roman" w:hAnsi="Times New Roman" w:cs="Times New Roman"/>
          <w:b/>
          <w:bCs/>
          <w:kern w:val="0"/>
          <w:sz w:val="24"/>
          <w:szCs w:val="24"/>
          <w14:ligatures w14:val="none"/>
        </w:rPr>
        <w:t>TB</w:t>
      </w:r>
      <w:r w:rsidRPr="00A37AED">
        <w:rPr>
          <w:rFonts w:ascii="Times New Roman" w:eastAsia="Times New Roman" w:hAnsi="Times New Roman" w:cs="Times New Roman"/>
          <w:kern w:val="0"/>
          <w:sz w:val="24"/>
          <w:szCs w:val="24"/>
          <w14:ligatures w14:val="none"/>
        </w:rPr>
        <w:t xml:space="preserve"> </w:t>
      </w:r>
      <w:r w:rsidR="00F34612">
        <w:rPr>
          <w:rFonts w:ascii="Times New Roman" w:eastAsia="Times New Roman" w:hAnsi="Times New Roman" w:cs="Times New Roman"/>
          <w:kern w:val="0"/>
          <w:sz w:val="24"/>
          <w:szCs w:val="24"/>
          <w14:ligatures w14:val="none"/>
        </w:rPr>
        <w:t>raw capacity</w:t>
      </w:r>
      <w:r w:rsidRPr="00A37AED">
        <w:rPr>
          <w:rFonts w:ascii="Times New Roman" w:eastAsia="Times New Roman" w:hAnsi="Times New Roman" w:cs="Times New Roman"/>
          <w:kern w:val="0"/>
          <w:sz w:val="24"/>
          <w:szCs w:val="24"/>
          <w14:ligatures w14:val="none"/>
        </w:rPr>
        <w:t xml:space="preserve">, </w:t>
      </w:r>
      <w:r w:rsidR="00F34612">
        <w:rPr>
          <w:rFonts w:ascii="Times New Roman" w:eastAsia="Times New Roman" w:hAnsi="Times New Roman" w:cs="Times New Roman"/>
          <w:kern w:val="0"/>
          <w:sz w:val="24"/>
          <w:szCs w:val="24"/>
          <w14:ligatures w14:val="none"/>
        </w:rPr>
        <w:t>support</w:t>
      </w:r>
      <w:r w:rsidRPr="00A37AED">
        <w:rPr>
          <w:rFonts w:ascii="Times New Roman" w:eastAsia="Times New Roman" w:hAnsi="Times New Roman" w:cs="Times New Roman"/>
          <w:kern w:val="0"/>
          <w:sz w:val="24"/>
          <w:szCs w:val="24"/>
          <w14:ligatures w14:val="none"/>
        </w:rPr>
        <w:t xml:space="preserve"> RAID6 or similar dual parity protection for fault tolerance and high data integrity.</w:t>
      </w:r>
    </w:p>
    <w:p w14:paraId="3235C4ED" w14:textId="77777777" w:rsidR="00D77DF0" w:rsidRPr="00587CF5" w:rsidRDefault="00D77DF0" w:rsidP="00D77DF0">
      <w:pPr>
        <w:pStyle w:val="Heading3"/>
        <w:numPr>
          <w:ilvl w:val="1"/>
          <w:numId w:val="8"/>
        </w:numPr>
        <w:rPr>
          <w:sz w:val="24"/>
          <w:szCs w:val="24"/>
        </w:rPr>
      </w:pPr>
      <w:r>
        <w:t>Scalability:</w:t>
      </w:r>
    </w:p>
    <w:p w14:paraId="53D08EB7" w14:textId="16BC7004" w:rsidR="00D77DF0" w:rsidRDefault="00D77DF0" w:rsidP="00D77DF0">
      <w:pPr>
        <w:pStyle w:val="NormalWeb"/>
        <w:ind w:left="360"/>
      </w:pPr>
      <w:r>
        <w:t xml:space="preserve">System must support </w:t>
      </w:r>
      <w:r>
        <w:rPr>
          <w:rStyle w:val="Strong"/>
        </w:rPr>
        <w:t>non-disruptive expansion</w:t>
      </w:r>
      <w:r>
        <w:t xml:space="preserve"> up to </w:t>
      </w:r>
      <w:r w:rsidRPr="00A72076">
        <w:rPr>
          <w:rStyle w:val="Strong"/>
        </w:rPr>
        <w:t>1.5 PB</w:t>
      </w:r>
      <w:r>
        <w:rPr>
          <w:rStyle w:val="Strong"/>
        </w:rPr>
        <w:t xml:space="preserve"> usable capacity</w:t>
      </w:r>
      <w:r>
        <w:t>, without requiring changes to the:</w:t>
      </w:r>
    </w:p>
    <w:p w14:paraId="02FFDB6D" w14:textId="77777777" w:rsidR="00D77DF0" w:rsidRDefault="00D77DF0" w:rsidP="00D77DF0">
      <w:pPr>
        <w:pStyle w:val="NormalWeb"/>
        <w:numPr>
          <w:ilvl w:val="2"/>
          <w:numId w:val="10"/>
        </w:numPr>
      </w:pPr>
      <w:r>
        <w:t>Base system model</w:t>
      </w:r>
    </w:p>
    <w:p w14:paraId="2C918904" w14:textId="77777777" w:rsidR="00D77DF0" w:rsidRDefault="00D77DF0" w:rsidP="00D77DF0">
      <w:pPr>
        <w:pStyle w:val="NormalWeb"/>
        <w:numPr>
          <w:ilvl w:val="2"/>
          <w:numId w:val="10"/>
        </w:numPr>
      </w:pPr>
      <w:r>
        <w:t>Controller architecture</w:t>
      </w:r>
    </w:p>
    <w:p w14:paraId="66421C92" w14:textId="77777777" w:rsidR="00D77DF0" w:rsidRPr="00587CF5" w:rsidRDefault="00D77DF0" w:rsidP="00D77DF0">
      <w:pPr>
        <w:pStyle w:val="NormalWeb"/>
        <w:numPr>
          <w:ilvl w:val="1"/>
          <w:numId w:val="8"/>
        </w:numPr>
      </w:pPr>
      <w:r w:rsidRPr="00A37AED">
        <w:rPr>
          <w:b/>
          <w:bCs/>
        </w:rPr>
        <w:t>Storage Architecture &amp; Media:</w:t>
      </w:r>
    </w:p>
    <w:p w14:paraId="114EEDC6" w14:textId="77777777" w:rsidR="00D77DF0" w:rsidRDefault="00D77DF0" w:rsidP="00D77DF0">
      <w:pPr>
        <w:pStyle w:val="NormalWeb"/>
        <w:numPr>
          <w:ilvl w:val="2"/>
          <w:numId w:val="10"/>
        </w:numPr>
      </w:pPr>
      <w:r>
        <w:rPr>
          <w:rStyle w:val="Strong"/>
        </w:rPr>
        <w:t>Hybrid setup</w:t>
      </w:r>
      <w:r>
        <w:t xml:space="preserve">, utilizing a combination of </w:t>
      </w:r>
      <w:r>
        <w:rPr>
          <w:rStyle w:val="Strong"/>
        </w:rPr>
        <w:t>high-capacity HDDs</w:t>
      </w:r>
      <w:r>
        <w:t xml:space="preserve"> and </w:t>
      </w:r>
      <w:r>
        <w:rPr>
          <w:rStyle w:val="Strong"/>
        </w:rPr>
        <w:t>enterprise SSDs</w:t>
      </w:r>
      <w:r>
        <w:t xml:space="preserve"> to balance capacity and performance.</w:t>
      </w:r>
    </w:p>
    <w:p w14:paraId="1C048B84" w14:textId="52205EAA" w:rsidR="00D77DF0" w:rsidRDefault="00D77DF0" w:rsidP="00D77DF0">
      <w:pPr>
        <w:pStyle w:val="NormalWeb"/>
        <w:numPr>
          <w:ilvl w:val="2"/>
          <w:numId w:val="10"/>
        </w:numPr>
      </w:pPr>
      <w:r>
        <w:t xml:space="preserve">Features such as </w:t>
      </w:r>
      <w:r>
        <w:rPr>
          <w:rStyle w:val="Strong"/>
        </w:rPr>
        <w:t>automatic tiering</w:t>
      </w:r>
      <w:r>
        <w:t xml:space="preserve">, </w:t>
      </w:r>
      <w:r>
        <w:rPr>
          <w:rStyle w:val="Strong"/>
        </w:rPr>
        <w:t>caching</w:t>
      </w:r>
      <w:r>
        <w:t xml:space="preserve">, </w:t>
      </w:r>
      <w:r>
        <w:rPr>
          <w:rStyle w:val="Strong"/>
        </w:rPr>
        <w:t>compression</w:t>
      </w:r>
      <w:r>
        <w:t xml:space="preserve">, and </w:t>
      </w:r>
      <w:r>
        <w:rPr>
          <w:rStyle w:val="Strong"/>
        </w:rPr>
        <w:t>deduplication</w:t>
      </w:r>
      <w:r w:rsidR="00943D68">
        <w:t xml:space="preserve"> are </w:t>
      </w:r>
      <w:r>
        <w:t>recommended to optimize storage efficiency.</w:t>
      </w:r>
      <w:bookmarkStart w:id="0" w:name="_GoBack"/>
      <w:bookmarkEnd w:id="0"/>
    </w:p>
    <w:p w14:paraId="7568FE79" w14:textId="77777777" w:rsidR="00D77DF0" w:rsidRPr="00587CF5" w:rsidRDefault="00D77DF0" w:rsidP="00D77DF0">
      <w:pPr>
        <w:pStyle w:val="NormalWeb"/>
        <w:numPr>
          <w:ilvl w:val="2"/>
          <w:numId w:val="10"/>
        </w:numPr>
      </w:pPr>
      <w:r>
        <w:lastRenderedPageBreak/>
        <w:t xml:space="preserve">Must support </w:t>
      </w:r>
      <w:r>
        <w:rPr>
          <w:rStyle w:val="Strong"/>
        </w:rPr>
        <w:t>high-throughput and low-latency</w:t>
      </w:r>
      <w:r>
        <w:t xml:space="preserve"> workloads including virtualization, backup, and file services.</w:t>
      </w:r>
    </w:p>
    <w:p w14:paraId="57F758A6" w14:textId="77777777" w:rsidR="00D77DF0" w:rsidRDefault="00D77DF0" w:rsidP="00D77DF0">
      <w:pPr>
        <w:pStyle w:val="NormalWeb"/>
        <w:numPr>
          <w:ilvl w:val="1"/>
          <w:numId w:val="8"/>
        </w:numPr>
        <w:rPr>
          <w:b/>
          <w:bCs/>
        </w:rPr>
      </w:pPr>
      <w:r w:rsidRPr="00A37AED">
        <w:rPr>
          <w:b/>
          <w:bCs/>
        </w:rPr>
        <w:t>Network Interfaces:</w:t>
      </w:r>
    </w:p>
    <w:p w14:paraId="4710B956" w14:textId="77777777" w:rsidR="00D77DF0" w:rsidRDefault="00D77DF0" w:rsidP="00D77DF0">
      <w:pPr>
        <w:pStyle w:val="NormalWeb"/>
        <w:numPr>
          <w:ilvl w:val="2"/>
          <w:numId w:val="10"/>
        </w:numPr>
      </w:pPr>
      <w:r>
        <w:t xml:space="preserve">Minimum </w:t>
      </w:r>
      <w:r w:rsidRPr="00A37AED">
        <w:rPr>
          <w:b/>
          <w:bCs/>
        </w:rPr>
        <w:t>2 x 100GbE (QSFP28) ports</w:t>
      </w:r>
      <w:r>
        <w:t xml:space="preserve"> for backend or storage-to-storage communication (e.g., expansion, interconnects, or replication)</w:t>
      </w:r>
    </w:p>
    <w:p w14:paraId="67A2FAB2" w14:textId="77777777" w:rsidR="00D77DF0" w:rsidRDefault="00D77DF0" w:rsidP="00D77DF0">
      <w:pPr>
        <w:pStyle w:val="NormalWeb"/>
        <w:numPr>
          <w:ilvl w:val="2"/>
          <w:numId w:val="10"/>
        </w:numPr>
      </w:pPr>
      <w:r>
        <w:t xml:space="preserve">Minimum </w:t>
      </w:r>
      <w:r w:rsidRPr="00A37AED">
        <w:rPr>
          <w:b/>
          <w:bCs/>
        </w:rPr>
        <w:t>2 x 25GbE (SFP28) ports</w:t>
      </w:r>
      <w:r>
        <w:t xml:space="preserve"> for front-end client/data access and host connectivity</w:t>
      </w:r>
    </w:p>
    <w:p w14:paraId="2B1B15FD" w14:textId="127F6744" w:rsidR="008310F6" w:rsidRPr="007034DA" w:rsidRDefault="006C48D0" w:rsidP="00D77DF0">
      <w:pPr>
        <w:pStyle w:val="NormalWeb"/>
        <w:numPr>
          <w:ilvl w:val="2"/>
          <w:numId w:val="10"/>
        </w:numPr>
      </w:pPr>
      <w:r w:rsidRPr="003D3AFD">
        <w:rPr>
          <w:b/>
          <w:bCs/>
        </w:rPr>
        <w:t>Two</w:t>
      </w:r>
      <w:r w:rsidR="008310F6" w:rsidRPr="003D3AFD">
        <w:rPr>
          <w:b/>
          <w:bCs/>
        </w:rPr>
        <w:t xml:space="preserve"> switches</w:t>
      </w:r>
      <w:r w:rsidR="008310F6" w:rsidRPr="007034DA">
        <w:t xml:space="preserve"> with minimum 32 </w:t>
      </w:r>
      <w:r w:rsidR="00DB19C4" w:rsidRPr="007034DA">
        <w:t xml:space="preserve">x </w:t>
      </w:r>
      <w:r w:rsidR="008310F6" w:rsidRPr="007034DA">
        <w:t>100Gb</w:t>
      </w:r>
      <w:r w:rsidR="00261F77" w:rsidRPr="007034DA">
        <w:t xml:space="preserve"> QSFP28</w:t>
      </w:r>
      <w:r w:rsidR="008310F6" w:rsidRPr="007034DA">
        <w:t xml:space="preserve"> ports for back-end connectivity between nodes.</w:t>
      </w:r>
    </w:p>
    <w:p w14:paraId="7278726D" w14:textId="77777777" w:rsidR="00D77DF0" w:rsidRDefault="00D77DF0" w:rsidP="00D77DF0">
      <w:pPr>
        <w:pStyle w:val="NormalWeb"/>
        <w:numPr>
          <w:ilvl w:val="2"/>
          <w:numId w:val="10"/>
        </w:numPr>
      </w:pPr>
      <w:r w:rsidRPr="003D3AFD">
        <w:rPr>
          <w:b/>
          <w:bCs/>
        </w:rPr>
        <w:t>Network interfaces</w:t>
      </w:r>
      <w:r>
        <w:t xml:space="preserve"> must support:</w:t>
      </w:r>
    </w:p>
    <w:p w14:paraId="11CAB1CB" w14:textId="77777777" w:rsidR="00D77DF0" w:rsidRPr="00A37AED" w:rsidRDefault="00D77DF0" w:rsidP="00D77DF0">
      <w:pPr>
        <w:pStyle w:val="NormalWeb"/>
        <w:numPr>
          <w:ilvl w:val="3"/>
          <w:numId w:val="21"/>
        </w:numPr>
      </w:pPr>
      <w:r w:rsidRPr="00A37AED">
        <w:t>Redundancy and failover mechanisms</w:t>
      </w:r>
    </w:p>
    <w:p w14:paraId="28136555" w14:textId="77777777" w:rsidR="00D77DF0" w:rsidRPr="00A37AED" w:rsidRDefault="00D77DF0" w:rsidP="00D77DF0">
      <w:pPr>
        <w:pStyle w:val="NormalWeb"/>
        <w:numPr>
          <w:ilvl w:val="3"/>
          <w:numId w:val="21"/>
        </w:numPr>
      </w:pPr>
      <w:r w:rsidRPr="00A37AED">
        <w:t>Link aggregation (LACP or equivalent)</w:t>
      </w:r>
    </w:p>
    <w:p w14:paraId="0B232448" w14:textId="77777777" w:rsidR="00D77DF0" w:rsidRPr="00A37AED" w:rsidRDefault="00D77DF0" w:rsidP="00D77DF0">
      <w:pPr>
        <w:pStyle w:val="NormalWeb"/>
        <w:numPr>
          <w:ilvl w:val="3"/>
          <w:numId w:val="21"/>
        </w:numPr>
      </w:pPr>
      <w:r w:rsidRPr="00A37AED">
        <w:t>VLAN tagging and Quality of Service (QoS) configuration</w:t>
      </w:r>
    </w:p>
    <w:p w14:paraId="5E338CAF" w14:textId="77777777" w:rsidR="00D77DF0" w:rsidRDefault="00D77DF0" w:rsidP="00D77DF0">
      <w:pPr>
        <w:pStyle w:val="NormalWeb"/>
        <w:numPr>
          <w:ilvl w:val="2"/>
          <w:numId w:val="10"/>
        </w:numPr>
      </w:pPr>
      <w:r w:rsidRPr="00A37AED">
        <w:rPr>
          <w:b/>
          <w:bCs/>
        </w:rPr>
        <w:t>Optical transceivers</w:t>
      </w:r>
      <w:r>
        <w:t xml:space="preserve"> may be provided optionally or bundled depending on the deployment requirements and design</w:t>
      </w:r>
    </w:p>
    <w:p w14:paraId="1DE81B8D" w14:textId="6558A7CF" w:rsidR="003E1F6A" w:rsidRDefault="00E35AE8" w:rsidP="007034DA">
      <w:pPr>
        <w:pStyle w:val="NormalWeb"/>
        <w:numPr>
          <w:ilvl w:val="0"/>
          <w:numId w:val="23"/>
        </w:numPr>
      </w:pPr>
      <w:r>
        <w:rPr>
          <w:b/>
          <w:bCs/>
        </w:rPr>
        <w:t xml:space="preserve">Two </w:t>
      </w:r>
      <w:r w:rsidR="003E1F6A" w:rsidRPr="007034DA">
        <w:rPr>
          <w:b/>
          <w:bCs/>
        </w:rPr>
        <w:t>Network switches</w:t>
      </w:r>
      <w:r w:rsidR="003E1F6A">
        <w:t xml:space="preserve">: minimum 48 x 25Gb SFP28 ports and </w:t>
      </w:r>
      <w:r w:rsidR="00480697">
        <w:t>4 x 100Gb ports.</w:t>
      </w:r>
    </w:p>
    <w:p w14:paraId="5079B1DF" w14:textId="396634AF" w:rsidR="00480697" w:rsidRPr="00A37AED" w:rsidRDefault="00480697" w:rsidP="007034DA">
      <w:pPr>
        <w:pStyle w:val="NormalWeb"/>
      </w:pPr>
      <w:r>
        <w:t>All switches must support ONIE (Open Network Install Environment) to enable open, vendor-neutral installation of network operating systems and ensure flexibility, interoperability, and future scalability.</w:t>
      </w:r>
    </w:p>
    <w:p w14:paraId="7AA90E0E" w14:textId="77777777" w:rsidR="00D64968" w:rsidRPr="00D64968" w:rsidRDefault="00D64968" w:rsidP="00D64968">
      <w:pPr>
        <w:pStyle w:val="NormalWeb"/>
        <w:rPr>
          <w:b/>
          <w:bCs/>
        </w:rPr>
      </w:pPr>
    </w:p>
    <w:sectPr w:rsidR="00D64968" w:rsidRPr="00D649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04F06" w14:textId="77777777" w:rsidR="00D766EB" w:rsidRDefault="00D766EB" w:rsidP="00D766EB">
      <w:pPr>
        <w:spacing w:after="0" w:line="240" w:lineRule="auto"/>
      </w:pPr>
      <w:r>
        <w:separator/>
      </w:r>
    </w:p>
  </w:endnote>
  <w:endnote w:type="continuationSeparator" w:id="0">
    <w:p w14:paraId="07DC25E8" w14:textId="77777777" w:rsidR="00D766EB" w:rsidRDefault="00D766EB" w:rsidP="00D76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66488" w14:textId="77777777" w:rsidR="00D766EB" w:rsidRDefault="00D766EB" w:rsidP="00D766EB">
      <w:pPr>
        <w:spacing w:after="0" w:line="240" w:lineRule="auto"/>
      </w:pPr>
      <w:r>
        <w:separator/>
      </w:r>
    </w:p>
  </w:footnote>
  <w:footnote w:type="continuationSeparator" w:id="0">
    <w:p w14:paraId="016B3207" w14:textId="77777777" w:rsidR="00D766EB" w:rsidRDefault="00D766EB" w:rsidP="00D766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96E"/>
    <w:multiLevelType w:val="hybridMultilevel"/>
    <w:tmpl w:val="F8B00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96A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D577C3"/>
    <w:multiLevelType w:val="multilevel"/>
    <w:tmpl w:val="906AB4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9FE5C79"/>
    <w:multiLevelType w:val="multilevel"/>
    <w:tmpl w:val="A7E0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20987"/>
    <w:multiLevelType w:val="multilevel"/>
    <w:tmpl w:val="8FBA4E0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C17168"/>
    <w:multiLevelType w:val="multilevel"/>
    <w:tmpl w:val="8FBA4E0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0B5B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1561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20D5FD8"/>
    <w:multiLevelType w:val="multilevel"/>
    <w:tmpl w:val="6D18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818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7A6368"/>
    <w:multiLevelType w:val="hybridMultilevel"/>
    <w:tmpl w:val="B6DA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BB3EF9"/>
    <w:multiLevelType w:val="multilevel"/>
    <w:tmpl w:val="46442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57228E"/>
    <w:multiLevelType w:val="multilevel"/>
    <w:tmpl w:val="8FBA4E0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1861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C26B31"/>
    <w:multiLevelType w:val="multilevel"/>
    <w:tmpl w:val="EBD4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EF46E4"/>
    <w:multiLevelType w:val="multilevel"/>
    <w:tmpl w:val="9F4C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C723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D545EE"/>
    <w:multiLevelType w:val="multilevel"/>
    <w:tmpl w:val="1C04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1714EA"/>
    <w:multiLevelType w:val="multilevel"/>
    <w:tmpl w:val="6814575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40A761E"/>
    <w:multiLevelType w:val="multilevel"/>
    <w:tmpl w:val="F506B22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A36CC3"/>
    <w:multiLevelType w:val="multilevel"/>
    <w:tmpl w:val="8FBA4E0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E043D7D"/>
    <w:multiLevelType w:val="multilevel"/>
    <w:tmpl w:val="3A3E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2A492F"/>
    <w:multiLevelType w:val="multilevel"/>
    <w:tmpl w:val="77B869F8"/>
    <w:lvl w:ilvl="0">
      <w:start w:val="1"/>
      <w:numFmt w:val="bullet"/>
      <w:lvlText w:val=""/>
      <w:lvlJc w:val="left"/>
      <w:pPr>
        <w:tabs>
          <w:tab w:val="num" w:pos="1080"/>
        </w:tabs>
        <w:ind w:left="1080" w:hanging="360"/>
      </w:pPr>
      <w:rPr>
        <w:rFonts w:asciiTheme="majorBidi" w:hAnsiTheme="majorBidi" w:cstheme="majorBidi"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2"/>
  </w:num>
  <w:num w:numId="2">
    <w:abstractNumId w:val="21"/>
  </w:num>
  <w:num w:numId="3">
    <w:abstractNumId w:val="14"/>
  </w:num>
  <w:num w:numId="4">
    <w:abstractNumId w:val="9"/>
  </w:num>
  <w:num w:numId="5">
    <w:abstractNumId w:val="16"/>
  </w:num>
  <w:num w:numId="6">
    <w:abstractNumId w:val="7"/>
  </w:num>
  <w:num w:numId="7">
    <w:abstractNumId w:val="6"/>
  </w:num>
  <w:num w:numId="8">
    <w:abstractNumId w:val="12"/>
  </w:num>
  <w:num w:numId="9">
    <w:abstractNumId w:val="1"/>
  </w:num>
  <w:num w:numId="10">
    <w:abstractNumId w:val="18"/>
  </w:num>
  <w:num w:numId="11">
    <w:abstractNumId w:val="13"/>
  </w:num>
  <w:num w:numId="12">
    <w:abstractNumId w:val="15"/>
  </w:num>
  <w:num w:numId="13">
    <w:abstractNumId w:val="5"/>
  </w:num>
  <w:num w:numId="14">
    <w:abstractNumId w:val="17"/>
  </w:num>
  <w:num w:numId="15">
    <w:abstractNumId w:val="22"/>
  </w:num>
  <w:num w:numId="16">
    <w:abstractNumId w:val="3"/>
  </w:num>
  <w:num w:numId="17">
    <w:abstractNumId w:val="4"/>
  </w:num>
  <w:num w:numId="18">
    <w:abstractNumId w:val="8"/>
  </w:num>
  <w:num w:numId="19">
    <w:abstractNumId w:val="20"/>
  </w:num>
  <w:num w:numId="20">
    <w:abstractNumId w:val="11"/>
  </w:num>
  <w:num w:numId="21">
    <w:abstractNumId w:val="19"/>
  </w:num>
  <w:num w:numId="22">
    <w:abstractNumId w:val="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A80"/>
    <w:rsid w:val="000378F0"/>
    <w:rsid w:val="00061196"/>
    <w:rsid w:val="0009325D"/>
    <w:rsid w:val="000B0253"/>
    <w:rsid w:val="001D7137"/>
    <w:rsid w:val="00250DE1"/>
    <w:rsid w:val="00261F77"/>
    <w:rsid w:val="002D5CAC"/>
    <w:rsid w:val="003139C1"/>
    <w:rsid w:val="003A7DF2"/>
    <w:rsid w:val="003B0BD2"/>
    <w:rsid w:val="003D3AFD"/>
    <w:rsid w:val="003E1F6A"/>
    <w:rsid w:val="00480697"/>
    <w:rsid w:val="00487E42"/>
    <w:rsid w:val="00562034"/>
    <w:rsid w:val="00563BD9"/>
    <w:rsid w:val="00587CF5"/>
    <w:rsid w:val="00593EF7"/>
    <w:rsid w:val="00596153"/>
    <w:rsid w:val="005E0089"/>
    <w:rsid w:val="005E46E5"/>
    <w:rsid w:val="00675D6E"/>
    <w:rsid w:val="00696C7A"/>
    <w:rsid w:val="006C48D0"/>
    <w:rsid w:val="006E63AA"/>
    <w:rsid w:val="007034DA"/>
    <w:rsid w:val="007467A6"/>
    <w:rsid w:val="007B0FFC"/>
    <w:rsid w:val="007E06F3"/>
    <w:rsid w:val="007F54CE"/>
    <w:rsid w:val="008310F6"/>
    <w:rsid w:val="00871379"/>
    <w:rsid w:val="008B2CB4"/>
    <w:rsid w:val="008D3990"/>
    <w:rsid w:val="008F2993"/>
    <w:rsid w:val="00943D68"/>
    <w:rsid w:val="00946F19"/>
    <w:rsid w:val="00960CA2"/>
    <w:rsid w:val="009E20AC"/>
    <w:rsid w:val="00A72076"/>
    <w:rsid w:val="00AF280A"/>
    <w:rsid w:val="00B40C24"/>
    <w:rsid w:val="00B97E68"/>
    <w:rsid w:val="00C53DCD"/>
    <w:rsid w:val="00C86471"/>
    <w:rsid w:val="00CB732B"/>
    <w:rsid w:val="00CD0E5E"/>
    <w:rsid w:val="00CD5839"/>
    <w:rsid w:val="00D516AC"/>
    <w:rsid w:val="00D64968"/>
    <w:rsid w:val="00D766EB"/>
    <w:rsid w:val="00D77DF0"/>
    <w:rsid w:val="00DB1048"/>
    <w:rsid w:val="00DB19C4"/>
    <w:rsid w:val="00DB3715"/>
    <w:rsid w:val="00DE6ADB"/>
    <w:rsid w:val="00E35AE8"/>
    <w:rsid w:val="00E63A80"/>
    <w:rsid w:val="00F21B9D"/>
    <w:rsid w:val="00F34612"/>
    <w:rsid w:val="00FC37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1BB79"/>
  <w15:chartTrackingRefBased/>
  <w15:docId w15:val="{282C7DE3-C289-4CFE-8D06-438E7D07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63A80"/>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63A80"/>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E63A80"/>
    <w:rPr>
      <w:b/>
      <w:bCs/>
    </w:rPr>
  </w:style>
  <w:style w:type="paragraph" w:styleId="NormalWeb">
    <w:name w:val="Normal (Web)"/>
    <w:basedOn w:val="Normal"/>
    <w:uiPriority w:val="99"/>
    <w:unhideWhenUsed/>
    <w:rsid w:val="00E63A8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E63A80"/>
    <w:pPr>
      <w:ind w:left="720"/>
      <w:contextualSpacing/>
    </w:pPr>
  </w:style>
  <w:style w:type="character" w:styleId="CommentReference">
    <w:name w:val="annotation reference"/>
    <w:basedOn w:val="DefaultParagraphFont"/>
    <w:uiPriority w:val="99"/>
    <w:semiHidden/>
    <w:unhideWhenUsed/>
    <w:rsid w:val="005E0089"/>
    <w:rPr>
      <w:sz w:val="16"/>
      <w:szCs w:val="16"/>
    </w:rPr>
  </w:style>
  <w:style w:type="paragraph" w:styleId="CommentText">
    <w:name w:val="annotation text"/>
    <w:basedOn w:val="Normal"/>
    <w:link w:val="CommentTextChar"/>
    <w:uiPriority w:val="99"/>
    <w:semiHidden/>
    <w:unhideWhenUsed/>
    <w:rsid w:val="005E0089"/>
    <w:pPr>
      <w:spacing w:line="240" w:lineRule="auto"/>
    </w:pPr>
    <w:rPr>
      <w:sz w:val="20"/>
      <w:szCs w:val="20"/>
    </w:rPr>
  </w:style>
  <w:style w:type="character" w:customStyle="1" w:styleId="CommentTextChar">
    <w:name w:val="Comment Text Char"/>
    <w:basedOn w:val="DefaultParagraphFont"/>
    <w:link w:val="CommentText"/>
    <w:uiPriority w:val="99"/>
    <w:semiHidden/>
    <w:rsid w:val="005E0089"/>
    <w:rPr>
      <w:sz w:val="20"/>
      <w:szCs w:val="20"/>
    </w:rPr>
  </w:style>
  <w:style w:type="paragraph" w:styleId="CommentSubject">
    <w:name w:val="annotation subject"/>
    <w:basedOn w:val="CommentText"/>
    <w:next w:val="CommentText"/>
    <w:link w:val="CommentSubjectChar"/>
    <w:uiPriority w:val="99"/>
    <w:semiHidden/>
    <w:unhideWhenUsed/>
    <w:rsid w:val="005E0089"/>
    <w:rPr>
      <w:b/>
      <w:bCs/>
    </w:rPr>
  </w:style>
  <w:style w:type="character" w:customStyle="1" w:styleId="CommentSubjectChar">
    <w:name w:val="Comment Subject Char"/>
    <w:basedOn w:val="CommentTextChar"/>
    <w:link w:val="CommentSubject"/>
    <w:uiPriority w:val="99"/>
    <w:semiHidden/>
    <w:rsid w:val="005E0089"/>
    <w:rPr>
      <w:b/>
      <w:bCs/>
      <w:sz w:val="20"/>
      <w:szCs w:val="20"/>
    </w:rPr>
  </w:style>
  <w:style w:type="paragraph" w:styleId="BalloonText">
    <w:name w:val="Balloon Text"/>
    <w:basedOn w:val="Normal"/>
    <w:link w:val="BalloonTextChar"/>
    <w:uiPriority w:val="99"/>
    <w:semiHidden/>
    <w:unhideWhenUsed/>
    <w:rsid w:val="005E00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089"/>
    <w:rPr>
      <w:rFonts w:ascii="Segoe UI" w:hAnsi="Segoe UI" w:cs="Segoe UI"/>
      <w:sz w:val="18"/>
      <w:szCs w:val="18"/>
    </w:rPr>
  </w:style>
  <w:style w:type="paragraph" w:styleId="Header">
    <w:name w:val="header"/>
    <w:basedOn w:val="Normal"/>
    <w:link w:val="HeaderChar"/>
    <w:uiPriority w:val="99"/>
    <w:unhideWhenUsed/>
    <w:rsid w:val="00D76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6EB"/>
  </w:style>
  <w:style w:type="paragraph" w:styleId="Footer">
    <w:name w:val="footer"/>
    <w:basedOn w:val="Normal"/>
    <w:link w:val="FooterChar"/>
    <w:uiPriority w:val="99"/>
    <w:unhideWhenUsed/>
    <w:rsid w:val="00D76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66486">
      <w:bodyDiv w:val="1"/>
      <w:marLeft w:val="0"/>
      <w:marRight w:val="0"/>
      <w:marTop w:val="0"/>
      <w:marBottom w:val="0"/>
      <w:divBdr>
        <w:top w:val="none" w:sz="0" w:space="0" w:color="auto"/>
        <w:left w:val="none" w:sz="0" w:space="0" w:color="auto"/>
        <w:bottom w:val="none" w:sz="0" w:space="0" w:color="auto"/>
        <w:right w:val="none" w:sz="0" w:space="0" w:color="auto"/>
      </w:divBdr>
    </w:div>
    <w:div w:id="516575401">
      <w:bodyDiv w:val="1"/>
      <w:marLeft w:val="0"/>
      <w:marRight w:val="0"/>
      <w:marTop w:val="0"/>
      <w:marBottom w:val="0"/>
      <w:divBdr>
        <w:top w:val="none" w:sz="0" w:space="0" w:color="auto"/>
        <w:left w:val="none" w:sz="0" w:space="0" w:color="auto"/>
        <w:bottom w:val="none" w:sz="0" w:space="0" w:color="auto"/>
        <w:right w:val="none" w:sz="0" w:space="0" w:color="auto"/>
      </w:divBdr>
    </w:div>
    <w:div w:id="914315595">
      <w:bodyDiv w:val="1"/>
      <w:marLeft w:val="0"/>
      <w:marRight w:val="0"/>
      <w:marTop w:val="0"/>
      <w:marBottom w:val="0"/>
      <w:divBdr>
        <w:top w:val="none" w:sz="0" w:space="0" w:color="auto"/>
        <w:left w:val="none" w:sz="0" w:space="0" w:color="auto"/>
        <w:bottom w:val="none" w:sz="0" w:space="0" w:color="auto"/>
        <w:right w:val="none" w:sz="0" w:space="0" w:color="auto"/>
      </w:divBdr>
    </w:div>
    <w:div w:id="920985612">
      <w:bodyDiv w:val="1"/>
      <w:marLeft w:val="0"/>
      <w:marRight w:val="0"/>
      <w:marTop w:val="0"/>
      <w:marBottom w:val="0"/>
      <w:divBdr>
        <w:top w:val="none" w:sz="0" w:space="0" w:color="auto"/>
        <w:left w:val="none" w:sz="0" w:space="0" w:color="auto"/>
        <w:bottom w:val="none" w:sz="0" w:space="0" w:color="auto"/>
        <w:right w:val="none" w:sz="0" w:space="0" w:color="auto"/>
      </w:divBdr>
    </w:div>
    <w:div w:id="956716012">
      <w:bodyDiv w:val="1"/>
      <w:marLeft w:val="0"/>
      <w:marRight w:val="0"/>
      <w:marTop w:val="0"/>
      <w:marBottom w:val="0"/>
      <w:divBdr>
        <w:top w:val="none" w:sz="0" w:space="0" w:color="auto"/>
        <w:left w:val="none" w:sz="0" w:space="0" w:color="auto"/>
        <w:bottom w:val="none" w:sz="0" w:space="0" w:color="auto"/>
        <w:right w:val="none" w:sz="0" w:space="0" w:color="auto"/>
      </w:divBdr>
    </w:div>
    <w:div w:id="985552930">
      <w:bodyDiv w:val="1"/>
      <w:marLeft w:val="0"/>
      <w:marRight w:val="0"/>
      <w:marTop w:val="0"/>
      <w:marBottom w:val="0"/>
      <w:divBdr>
        <w:top w:val="none" w:sz="0" w:space="0" w:color="auto"/>
        <w:left w:val="none" w:sz="0" w:space="0" w:color="auto"/>
        <w:bottom w:val="none" w:sz="0" w:space="0" w:color="auto"/>
        <w:right w:val="none" w:sz="0" w:space="0" w:color="auto"/>
      </w:divBdr>
    </w:div>
    <w:div w:id="1003822520">
      <w:bodyDiv w:val="1"/>
      <w:marLeft w:val="0"/>
      <w:marRight w:val="0"/>
      <w:marTop w:val="0"/>
      <w:marBottom w:val="0"/>
      <w:divBdr>
        <w:top w:val="none" w:sz="0" w:space="0" w:color="auto"/>
        <w:left w:val="none" w:sz="0" w:space="0" w:color="auto"/>
        <w:bottom w:val="none" w:sz="0" w:space="0" w:color="auto"/>
        <w:right w:val="none" w:sz="0" w:space="0" w:color="auto"/>
      </w:divBdr>
    </w:div>
    <w:div w:id="1581330165">
      <w:bodyDiv w:val="1"/>
      <w:marLeft w:val="0"/>
      <w:marRight w:val="0"/>
      <w:marTop w:val="0"/>
      <w:marBottom w:val="0"/>
      <w:divBdr>
        <w:top w:val="none" w:sz="0" w:space="0" w:color="auto"/>
        <w:left w:val="none" w:sz="0" w:space="0" w:color="auto"/>
        <w:bottom w:val="none" w:sz="0" w:space="0" w:color="auto"/>
        <w:right w:val="none" w:sz="0" w:space="0" w:color="auto"/>
      </w:divBdr>
    </w:div>
    <w:div w:id="1623338144">
      <w:bodyDiv w:val="1"/>
      <w:marLeft w:val="0"/>
      <w:marRight w:val="0"/>
      <w:marTop w:val="0"/>
      <w:marBottom w:val="0"/>
      <w:divBdr>
        <w:top w:val="none" w:sz="0" w:space="0" w:color="auto"/>
        <w:left w:val="none" w:sz="0" w:space="0" w:color="auto"/>
        <w:bottom w:val="none" w:sz="0" w:space="0" w:color="auto"/>
        <w:right w:val="none" w:sz="0" w:space="0" w:color="auto"/>
      </w:divBdr>
    </w:div>
    <w:div w:id="1657605217">
      <w:bodyDiv w:val="1"/>
      <w:marLeft w:val="0"/>
      <w:marRight w:val="0"/>
      <w:marTop w:val="0"/>
      <w:marBottom w:val="0"/>
      <w:divBdr>
        <w:top w:val="none" w:sz="0" w:space="0" w:color="auto"/>
        <w:left w:val="none" w:sz="0" w:space="0" w:color="auto"/>
        <w:bottom w:val="none" w:sz="0" w:space="0" w:color="auto"/>
        <w:right w:val="none" w:sz="0" w:space="0" w:color="auto"/>
      </w:divBdr>
    </w:div>
    <w:div w:id="175809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1458</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Srour</dc:creator>
  <cp:keywords/>
  <dc:description/>
  <cp:lastModifiedBy>Jessy Saab</cp:lastModifiedBy>
  <cp:revision>3</cp:revision>
  <dcterms:created xsi:type="dcterms:W3CDTF">2025-11-25T13:11:00Z</dcterms:created>
  <dcterms:modified xsi:type="dcterms:W3CDTF">2025-12-16T12:42:00Z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d3be33-4108-4738-9e07-d8656a181486_Enabled">
    <vt:lpwstr>true</vt:lpwstr>
  </property>
  <property fmtid="{D5CDD505-2E9C-101B-9397-08002B2CF9AE}" pid="3" name="MSIP_Label_dad3be33-4108-4738-9e07-d8656a181486_SetDate">
    <vt:lpwstr>2025-11-17T13:03:21Z</vt:lpwstr>
  </property>
  <property fmtid="{D5CDD505-2E9C-101B-9397-08002B2CF9AE}" pid="4" name="MSIP_Label_dad3be33-4108-4738-9e07-d8656a181486_Method">
    <vt:lpwstr>Privileged</vt:lpwstr>
  </property>
  <property fmtid="{D5CDD505-2E9C-101B-9397-08002B2CF9AE}" pid="5" name="MSIP_Label_dad3be33-4108-4738-9e07-d8656a181486_Name">
    <vt:lpwstr>Public No Visual Label</vt:lpwstr>
  </property>
  <property fmtid="{D5CDD505-2E9C-101B-9397-08002B2CF9AE}" pid="6" name="MSIP_Label_dad3be33-4108-4738-9e07-d8656a181486_SiteId">
    <vt:lpwstr>945c199a-83a2-4e80-9f8c-5a91be5752dd</vt:lpwstr>
  </property>
  <property fmtid="{D5CDD505-2E9C-101B-9397-08002B2CF9AE}" pid="7" name="MSIP_Label_dad3be33-4108-4738-9e07-d8656a181486_ActionId">
    <vt:lpwstr>9127ab32-9ad5-446f-9ebc-c8f50b745066</vt:lpwstr>
  </property>
  <property fmtid="{D5CDD505-2E9C-101B-9397-08002B2CF9AE}" pid="8" name="MSIP_Label_dad3be33-4108-4738-9e07-d8656a181486_ContentBits">
    <vt:lpwstr>0</vt:lpwstr>
  </property>
  <property fmtid="{D5CDD505-2E9C-101B-9397-08002B2CF9AE}" pid="9" name="MSIP_Label_dad3be33-4108-4738-9e07-d8656a181486_Tag">
    <vt:lpwstr>10, 0, 1, 1</vt:lpwstr>
  </property>
</Properties>
</file>