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B53A5F" w:rsidRDefault="00B214DD" w:rsidP="00B214DD">
      <w:pPr>
        <w:pStyle w:val="NoSpacing"/>
        <w:bidi/>
        <w:jc w:val="center"/>
        <w:rPr>
          <w:rFonts w:ascii="Arial" w:hAnsi="Arial" w:cs="Arial"/>
          <w:b/>
          <w:bCs/>
          <w:sz w:val="28"/>
          <w:szCs w:val="28"/>
          <w:rtl/>
          <w:lang w:bidi="ar-LB"/>
        </w:rPr>
      </w:pPr>
    </w:p>
    <w:p w14:paraId="5F446E17" w14:textId="18B4C73E" w:rsidR="006D1333" w:rsidRPr="00B53A5F" w:rsidRDefault="00B53A5F" w:rsidP="00B53A5F">
      <w:pPr>
        <w:pStyle w:val="NoSpacing"/>
        <w:bidi/>
        <w:jc w:val="center"/>
        <w:rPr>
          <w:rFonts w:ascii="Arial" w:hAnsi="Arial" w:cs="Arial"/>
          <w:b/>
          <w:bCs/>
          <w:rtl/>
          <w:lang w:bidi="ar-LB"/>
        </w:rPr>
      </w:pPr>
      <w:r w:rsidRPr="00B53A5F">
        <w:rPr>
          <w:rFonts w:ascii="Calibri" w:eastAsia="Calibri" w:hAnsi="Calibri" w:cs="Arial"/>
          <w:b/>
          <w:bCs/>
          <w:sz w:val="32"/>
          <w:szCs w:val="32"/>
          <w:rtl/>
          <w:lang w:bidi="ar-LB"/>
        </w:rPr>
        <w:t>ترميم القصر العدلي في مدينة صيدا- قضاء :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673E3B20" w14:textId="77777777" w:rsidR="005800E7" w:rsidRDefault="005800E7" w:rsidP="005800E7">
      <w:pPr>
        <w:pStyle w:val="NoSpacing"/>
        <w:bidi/>
        <w:jc w:val="both"/>
        <w:rPr>
          <w:rFonts w:ascii="Arial" w:hAnsi="Arial" w:cs="Arial"/>
          <w:sz w:val="33"/>
          <w:szCs w:val="33"/>
          <w:rtl/>
          <w:lang w:bidi="ar-LB"/>
        </w:rPr>
      </w:pPr>
    </w:p>
    <w:p w14:paraId="1B11211E" w14:textId="77777777" w:rsidR="005800E7" w:rsidRDefault="005800E7" w:rsidP="005800E7">
      <w:pPr>
        <w:pStyle w:val="NoSpacing"/>
        <w:bidi/>
        <w:jc w:val="both"/>
        <w:rPr>
          <w:rFonts w:ascii="Arial" w:hAnsi="Arial" w:cs="Arial"/>
          <w:sz w:val="33"/>
          <w:szCs w:val="33"/>
          <w:rtl/>
          <w:lang w:bidi="ar-LB"/>
        </w:rPr>
      </w:pPr>
    </w:p>
    <w:p w14:paraId="02348BF3" w14:textId="77777777" w:rsidR="005800E7" w:rsidRDefault="005800E7" w:rsidP="005800E7">
      <w:pPr>
        <w:pStyle w:val="NoSpacing"/>
        <w:bidi/>
        <w:jc w:val="both"/>
        <w:rPr>
          <w:rFonts w:ascii="Arial" w:hAnsi="Arial" w:cs="Arial"/>
          <w:sz w:val="33"/>
          <w:szCs w:val="33"/>
          <w:rtl/>
          <w:lang w:bidi="ar-LB"/>
        </w:rPr>
      </w:pPr>
    </w:p>
    <w:p w14:paraId="7F1E8194" w14:textId="77777777" w:rsidR="005800E7" w:rsidRDefault="005800E7" w:rsidP="005800E7">
      <w:pPr>
        <w:pStyle w:val="NoSpacing"/>
        <w:bidi/>
        <w:jc w:val="both"/>
        <w:rPr>
          <w:rFonts w:ascii="Arial" w:hAnsi="Arial" w:cs="Arial"/>
          <w:sz w:val="33"/>
          <w:szCs w:val="33"/>
          <w:rtl/>
          <w:lang w:bidi="ar-LB"/>
        </w:rPr>
      </w:pPr>
    </w:p>
    <w:p w14:paraId="44DFE65C" w14:textId="77777777" w:rsidR="005800E7" w:rsidRDefault="005800E7" w:rsidP="005800E7">
      <w:pPr>
        <w:pStyle w:val="NoSpacing"/>
        <w:bidi/>
        <w:jc w:val="both"/>
        <w:rPr>
          <w:rFonts w:ascii="Arial" w:hAnsi="Arial" w:cs="Arial"/>
          <w:sz w:val="33"/>
          <w:szCs w:val="33"/>
          <w:rtl/>
          <w:lang w:bidi="ar-LB"/>
        </w:rPr>
      </w:pPr>
    </w:p>
    <w:p w14:paraId="5FF1E725" w14:textId="77777777" w:rsidR="005800E7" w:rsidRDefault="005800E7" w:rsidP="005800E7">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0524E785" w14:textId="76935C1F" w:rsidR="00554F70" w:rsidRPr="005800E7" w:rsidRDefault="00DC4A67" w:rsidP="005800E7">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65E9952" w14:textId="77777777" w:rsidR="003435E5" w:rsidRDefault="003435E5" w:rsidP="00554F70">
      <w:pPr>
        <w:pStyle w:val="NoSpacing"/>
        <w:bidi/>
        <w:jc w:val="center"/>
        <w:rPr>
          <w:rFonts w:ascii="Arial" w:hAnsi="Arial" w:cs="Arial"/>
          <w:b/>
          <w:bCs/>
          <w:sz w:val="32"/>
          <w:szCs w:val="32"/>
          <w:u w:val="single"/>
          <w:rtl/>
          <w:lang w:bidi="ar-LB"/>
        </w:rPr>
      </w:pPr>
    </w:p>
    <w:p w14:paraId="73D2927C" w14:textId="12D37C92" w:rsidR="006D1333" w:rsidRPr="000A655C" w:rsidRDefault="00193E2E" w:rsidP="003435E5">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34ACF9E" w:rsidR="00FC0818" w:rsidRPr="00B53A5F" w:rsidRDefault="00B53A5F" w:rsidP="00442EBF">
            <w:pPr>
              <w:spacing w:after="160" w:line="259" w:lineRule="auto"/>
              <w:jc w:val="left"/>
              <w:rPr>
                <w:rFonts w:asciiTheme="majorBidi" w:hAnsiTheme="majorBidi" w:cs="Times New Roman"/>
                <w:color w:val="000000" w:themeColor="text1"/>
                <w:sz w:val="36"/>
                <w:szCs w:val="36"/>
                <w:rtl/>
                <w:lang w:bidi="ar-LB"/>
              </w:rPr>
            </w:pPr>
            <w:r w:rsidRPr="00B53A5F">
              <w:rPr>
                <w:rFonts w:ascii="Calibri" w:eastAsia="Calibri" w:hAnsi="Calibri" w:cs="Arial"/>
                <w:sz w:val="32"/>
                <w:szCs w:val="32"/>
                <w:rtl/>
                <w:lang w:bidi="ar-LB"/>
              </w:rPr>
              <w:t>ترميم القصر العدلي في مدينة صيدا- قضاء :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D3EE83C"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B53A5F">
              <w:rPr>
                <w:rFonts w:asciiTheme="majorBidi" w:hAnsiTheme="majorBidi" w:cstheme="majorBidi" w:hint="cs"/>
                <w:color w:val="000000" w:themeColor="text1"/>
                <w:sz w:val="32"/>
                <w:szCs w:val="32"/>
                <w:u w:val="single"/>
                <w:rtl/>
                <w:lang w:bidi="ar-LB"/>
              </w:rPr>
              <w:t>420.000.000</w:t>
            </w:r>
            <w:r w:rsidRPr="00E97C54">
              <w:rPr>
                <w:rFonts w:asciiTheme="majorBidi" w:hAnsiTheme="majorBidi" w:cstheme="majorBidi"/>
                <w:b/>
                <w:bCs/>
                <w:color w:val="000000" w:themeColor="text1"/>
                <w:sz w:val="32"/>
                <w:szCs w:val="32"/>
                <w:u w:val="single"/>
                <w:rtl/>
                <w:lang w:bidi="ar-LB"/>
              </w:rPr>
              <w:t>/ل.ل.</w:t>
            </w:r>
          </w:p>
          <w:p w14:paraId="7435D277" w14:textId="0EF025D1"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B53A5F">
              <w:rPr>
                <w:rFonts w:asciiTheme="majorBidi" w:hAnsiTheme="majorBidi" w:cstheme="majorBidi" w:hint="cs"/>
                <w:b/>
                <w:bCs/>
                <w:color w:val="000000" w:themeColor="text1"/>
                <w:sz w:val="32"/>
                <w:szCs w:val="32"/>
                <w:u w:val="single"/>
                <w:rtl/>
                <w:lang w:bidi="ar-LB"/>
              </w:rPr>
              <w:t>اربعمائة وعشرون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950B46C" w:rsidR="00A47130" w:rsidRPr="000A655C" w:rsidRDefault="00B53A5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0EB872B9" w14:textId="77777777" w:rsidR="00B53A5F" w:rsidRDefault="00B53A5F" w:rsidP="00B53A5F">
      <w:pPr>
        <w:pStyle w:val="NoSpacing"/>
        <w:bidi/>
        <w:jc w:val="center"/>
        <w:rPr>
          <w:rFonts w:ascii="Arial" w:hAnsi="Arial" w:cs="Arial"/>
          <w:b/>
          <w:bCs/>
          <w:sz w:val="32"/>
          <w:szCs w:val="32"/>
          <w:u w:val="single"/>
          <w:rtl/>
          <w:lang w:bidi="ar-LB"/>
        </w:rPr>
      </w:pPr>
    </w:p>
    <w:p w14:paraId="4291C0F8" w14:textId="77777777" w:rsidR="00B53A5F" w:rsidRDefault="00B53A5F" w:rsidP="00B53A5F">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5A5194F3" w14:textId="77777777" w:rsidR="0075555F" w:rsidRDefault="0075555F" w:rsidP="005800E7">
      <w:pPr>
        <w:pStyle w:val="NoSpacing"/>
        <w:bidi/>
        <w:rPr>
          <w:rFonts w:ascii="Arial" w:hAnsi="Arial" w:cs="Arial"/>
          <w:b/>
          <w:bCs/>
          <w:sz w:val="33"/>
          <w:szCs w:val="33"/>
          <w:u w:val="single"/>
          <w:rtl/>
          <w:lang w:bidi="ar-LB"/>
        </w:rPr>
      </w:pPr>
    </w:p>
    <w:p w14:paraId="16B91E96" w14:textId="77777777" w:rsidR="005800E7" w:rsidRDefault="005800E7" w:rsidP="005800E7">
      <w:pPr>
        <w:pStyle w:val="NoSpacing"/>
        <w:bidi/>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095B390B" w14:textId="77777777" w:rsidR="003435E5" w:rsidRDefault="003435E5" w:rsidP="003435E5">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1B9CC09C" w14:textId="77777777" w:rsidR="00B53A5F" w:rsidRDefault="009E73D7" w:rsidP="008B0DB7">
      <w:pPr>
        <w:pStyle w:val="NoSpacing"/>
        <w:jc w:val="right"/>
        <w:rPr>
          <w:rFonts w:asciiTheme="majorBidi" w:hAnsiTheme="majorBidi" w:cs="Times New Roman"/>
          <w:color w:val="000000" w:themeColor="text1"/>
          <w:sz w:val="28"/>
          <w:szCs w:val="28"/>
          <w:rtl/>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B53A5F" w:rsidRPr="00B53A5F">
        <w:rPr>
          <w:rFonts w:asciiTheme="majorBidi" w:hAnsiTheme="majorBidi" w:cs="Times New Roman"/>
          <w:color w:val="000000" w:themeColor="text1"/>
          <w:sz w:val="28"/>
          <w:szCs w:val="28"/>
          <w:rtl/>
        </w:rPr>
        <w:t>ترميم القصر العدلي في مدينة صيدا- قضاء : صيدا</w:t>
      </w:r>
      <w:r w:rsidR="00B53A5F">
        <w:rPr>
          <w:rFonts w:asciiTheme="majorBidi" w:hAnsiTheme="majorBidi" w:cs="Times New Roman" w:hint="cs"/>
          <w:color w:val="000000" w:themeColor="text1"/>
          <w:sz w:val="28"/>
          <w:szCs w:val="28"/>
          <w:rtl/>
        </w:rPr>
        <w:t xml:space="preserve"> </w:t>
      </w:r>
    </w:p>
    <w:p w14:paraId="79FA475F" w14:textId="6840DE4B"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5800E7" w:rsidRDefault="009E73D7" w:rsidP="00D321FC">
      <w:pPr>
        <w:pStyle w:val="NoSpacing"/>
        <w:bidi/>
        <w:spacing w:line="276" w:lineRule="auto"/>
        <w:jc w:val="both"/>
        <w:rPr>
          <w:rFonts w:ascii="Arial" w:hAnsi="Arial" w:cs="Arial"/>
          <w:b/>
          <w:bCs/>
          <w:sz w:val="28"/>
          <w:szCs w:val="28"/>
          <w:u w:val="single"/>
          <w:rtl/>
          <w:lang w:bidi="ar-LB"/>
        </w:rPr>
      </w:pPr>
      <w:r w:rsidRPr="005800E7">
        <w:rPr>
          <w:rFonts w:ascii="Arial" w:hAnsi="Arial" w:cs="Arial"/>
          <w:b/>
          <w:bCs/>
          <w:sz w:val="28"/>
          <w:szCs w:val="28"/>
          <w:u w:val="single"/>
          <w:rtl/>
          <w:lang w:bidi="ar-LB"/>
        </w:rPr>
        <w:t>المادة 2-</w:t>
      </w:r>
      <w:r w:rsidR="00505E88" w:rsidRPr="005800E7">
        <w:rPr>
          <w:rFonts w:ascii="Arial" w:hAnsi="Arial" w:cs="Arial" w:hint="cs"/>
          <w:b/>
          <w:bCs/>
          <w:sz w:val="28"/>
          <w:szCs w:val="28"/>
          <w:u w:val="single"/>
          <w:rtl/>
          <w:lang w:bidi="ar-LB"/>
        </w:rPr>
        <w:t>6:</w:t>
      </w:r>
      <w:r w:rsidRPr="005800E7">
        <w:rPr>
          <w:rFonts w:ascii="Arial" w:hAnsi="Arial" w:cs="Arial"/>
          <w:b/>
          <w:bCs/>
          <w:sz w:val="28"/>
          <w:szCs w:val="28"/>
          <w:u w:val="single"/>
          <w:rtl/>
          <w:lang w:bidi="ar-LB"/>
        </w:rPr>
        <w:t xml:space="preserve"> لجنة التلزيم</w:t>
      </w:r>
    </w:p>
    <w:p w14:paraId="6E188D96" w14:textId="77777777" w:rsidR="009E73D7" w:rsidRPr="005800E7" w:rsidRDefault="009E73D7" w:rsidP="00B25DBD">
      <w:pPr>
        <w:pBdr>
          <w:top w:val="nil"/>
          <w:left w:val="nil"/>
          <w:bottom w:val="nil"/>
          <w:right w:val="nil"/>
          <w:between w:val="nil"/>
        </w:pBdr>
        <w:spacing w:line="276" w:lineRule="auto"/>
        <w:ind w:left="306"/>
        <w:rPr>
          <w:rFonts w:ascii="Arial" w:hAnsi="Arial" w:cs="Arial"/>
          <w:color w:val="000000"/>
          <w:u w:val="single"/>
        </w:rPr>
      </w:pPr>
      <w:r w:rsidRPr="005800E7">
        <w:rPr>
          <w:rFonts w:ascii="Arial" w:hAnsi="Arial" w:cs="Arial"/>
          <w:color w:val="000000"/>
          <w:rtl/>
        </w:rPr>
        <w:t xml:space="preserve">تتولّى </w:t>
      </w:r>
      <w:r w:rsidR="00B25DBD" w:rsidRPr="005800E7">
        <w:rPr>
          <w:rFonts w:ascii="Arial" w:hAnsi="Arial" w:cs="Arial" w:hint="cs"/>
          <w:color w:val="000000"/>
          <w:rtl/>
        </w:rPr>
        <w:t>لجنة التلزيم</w:t>
      </w:r>
      <w:r w:rsidRPr="005800E7">
        <w:rPr>
          <w:rFonts w:ascii="Arial" w:hAnsi="Arial" w:cs="Arial"/>
          <w:color w:val="000000"/>
          <w:rtl/>
        </w:rPr>
        <w:t xml:space="preserve"> حصراً دراسة وفتح وتقييم العروض، بالتالي تحديد العرض الأنسب. </w:t>
      </w:r>
    </w:p>
    <w:p w14:paraId="3EFC92E0" w14:textId="1D8BDD1C" w:rsidR="009E73D7" w:rsidRPr="005800E7"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u w:val="single"/>
        </w:rPr>
      </w:pPr>
      <w:r w:rsidRPr="005800E7">
        <w:rPr>
          <w:rFonts w:ascii="Arial" w:hAnsi="Arial" w:cs="Arial"/>
          <w:color w:val="000000"/>
          <w:rtl/>
        </w:rPr>
        <w:t xml:space="preserve">على رئيس </w:t>
      </w:r>
      <w:r w:rsidR="00B25DBD" w:rsidRPr="005800E7">
        <w:rPr>
          <w:rFonts w:ascii="Arial" w:hAnsi="Arial" w:cs="Arial" w:hint="cs"/>
          <w:color w:val="000000"/>
          <w:rtl/>
        </w:rPr>
        <w:t>لجنة التلزيم</w:t>
      </w:r>
      <w:r w:rsidRPr="005800E7">
        <w:rPr>
          <w:rFonts w:ascii="Arial" w:hAnsi="Arial" w:cs="Arial"/>
          <w:color w:val="000000"/>
          <w:rtl/>
        </w:rPr>
        <w:t xml:space="preserve"> وعلى كلٍّ من أعضائها أن يتنحّى عن مهامه في اللجنة المذكورة في حال</w:t>
      </w:r>
      <w:r w:rsidR="00B72C70" w:rsidRPr="005800E7">
        <w:rPr>
          <w:rFonts w:ascii="Arial" w:hAnsi="Arial" w:cs="Arial" w:hint="cs"/>
          <w:color w:val="000000"/>
          <w:rtl/>
        </w:rPr>
        <w:t xml:space="preserve"> </w:t>
      </w:r>
      <w:r w:rsidRPr="005800E7">
        <w:rPr>
          <w:rFonts w:ascii="Arial" w:hAnsi="Arial" w:cs="Arial"/>
          <w:color w:val="000000"/>
          <w:rtl/>
        </w:rPr>
        <w:t>وقع بأيّ وضع من أوضاع تضارب المصالح أوتوقَّع الوقوع فيه،وذلك فور معرفته بهذا</w:t>
      </w:r>
      <w:r w:rsidR="00B72C70" w:rsidRPr="005800E7">
        <w:rPr>
          <w:rFonts w:ascii="Arial" w:hAnsi="Arial" w:cs="Arial" w:hint="cs"/>
          <w:color w:val="000000"/>
          <w:rtl/>
        </w:rPr>
        <w:t xml:space="preserve"> </w:t>
      </w:r>
      <w:r w:rsidRPr="005800E7">
        <w:rPr>
          <w:rFonts w:ascii="Arial" w:hAnsi="Arial" w:cs="Arial"/>
          <w:color w:val="000000"/>
          <w:rtl/>
        </w:rPr>
        <w:t>التضارب.</w:t>
      </w:r>
    </w:p>
    <w:p w14:paraId="7A9B7E0D" w14:textId="77777777" w:rsidR="009E73D7" w:rsidRPr="005800E7"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u w:val="single"/>
        </w:rPr>
      </w:pPr>
      <w:r w:rsidRPr="005800E7">
        <w:rPr>
          <w:rFonts w:ascii="Arial" w:hAnsi="Arial" w:cs="Arial"/>
          <w:color w:val="000000"/>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5800E7">
        <w:rPr>
          <w:rFonts w:ascii="Arial" w:hAnsi="Arial" w:cs="Arial" w:hint="cs"/>
          <w:color w:val="000000"/>
          <w:rtl/>
        </w:rPr>
        <w:t xml:space="preserve"> التلزيم</w:t>
      </w:r>
      <w:r w:rsidR="00E0594C" w:rsidRPr="005800E7">
        <w:rPr>
          <w:rFonts w:ascii="Arial" w:hAnsi="Arial" w:cs="Arial"/>
          <w:color w:val="000000"/>
          <w:rtl/>
        </w:rPr>
        <w:t xml:space="preserve"> يُضَم</w:t>
      </w:r>
      <w:r w:rsidR="00E0594C" w:rsidRPr="005800E7">
        <w:rPr>
          <w:rFonts w:ascii="Arial" w:hAnsi="Arial" w:cs="Arial" w:hint="cs"/>
          <w:color w:val="000000"/>
          <w:rtl/>
        </w:rPr>
        <w:t>إ</w:t>
      </w:r>
      <w:r w:rsidRPr="005800E7">
        <w:rPr>
          <w:rFonts w:ascii="Arial" w:hAnsi="Arial" w:cs="Arial"/>
          <w:color w:val="000000"/>
          <w:rtl/>
        </w:rPr>
        <w:t>لزامياً إلى محضر التلزيم.</w:t>
      </w:r>
    </w:p>
    <w:p w14:paraId="353CA5B2" w14:textId="6E733D3F" w:rsidR="00340016" w:rsidRPr="005800E7"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u w:val="single"/>
        </w:rPr>
      </w:pPr>
      <w:r w:rsidRPr="005800E7">
        <w:rPr>
          <w:rFonts w:ascii="Arial" w:hAnsi="Arial" w:cs="Arial"/>
          <w:color w:val="000000"/>
          <w:rtl/>
        </w:rPr>
        <w:t>في حال التباين في الآراء بين أعضاء اللجنة، تؤخذ القرارات بأغلبية أعضائها ويُدوِّن</w:t>
      </w:r>
      <w:r w:rsidR="00505E88" w:rsidRPr="005800E7">
        <w:rPr>
          <w:rFonts w:ascii="Arial" w:hAnsi="Arial" w:cs="Arial" w:hint="cs"/>
          <w:color w:val="000000"/>
          <w:rtl/>
        </w:rPr>
        <w:t xml:space="preserve"> </w:t>
      </w:r>
      <w:r w:rsidRPr="005800E7">
        <w:rPr>
          <w:rFonts w:ascii="Arial" w:hAnsi="Arial" w:cs="Arial"/>
          <w:color w:val="000000"/>
          <w:rtl/>
        </w:rPr>
        <w:t>أيّ عضو مخالف أسباب مخالفته.</w:t>
      </w:r>
    </w:p>
    <w:p w14:paraId="3AEAFF28" w14:textId="06DD4DFA" w:rsidR="009E73D7" w:rsidRPr="005800E7" w:rsidRDefault="009E73D7" w:rsidP="00D321FC">
      <w:pPr>
        <w:pStyle w:val="NoSpacing"/>
        <w:bidi/>
        <w:spacing w:line="276" w:lineRule="auto"/>
        <w:jc w:val="both"/>
        <w:rPr>
          <w:rFonts w:ascii="Arial" w:hAnsi="Arial" w:cs="Arial"/>
          <w:b/>
          <w:bCs/>
          <w:sz w:val="28"/>
          <w:szCs w:val="28"/>
          <w:u w:val="single"/>
          <w:rtl/>
          <w:lang w:bidi="ar-LB"/>
        </w:rPr>
      </w:pPr>
      <w:r w:rsidRPr="005800E7">
        <w:rPr>
          <w:rFonts w:ascii="Arial" w:hAnsi="Arial" w:cs="Arial"/>
          <w:b/>
          <w:bCs/>
          <w:sz w:val="28"/>
          <w:szCs w:val="28"/>
          <w:u w:val="single"/>
          <w:rtl/>
          <w:lang w:bidi="ar-LB"/>
        </w:rPr>
        <w:t>المادة 2-</w:t>
      </w:r>
      <w:r w:rsidR="00515A09" w:rsidRPr="005800E7">
        <w:rPr>
          <w:rFonts w:ascii="Arial" w:hAnsi="Arial" w:cs="Arial" w:hint="cs"/>
          <w:b/>
          <w:bCs/>
          <w:sz w:val="28"/>
          <w:szCs w:val="28"/>
          <w:u w:val="single"/>
          <w:rtl/>
          <w:lang w:bidi="ar-LB"/>
        </w:rPr>
        <w:t>7</w:t>
      </w:r>
      <w:r w:rsidR="00515A09" w:rsidRPr="005800E7">
        <w:rPr>
          <w:rFonts w:ascii="Arial" w:hAnsi="Arial" w:cs="Arial" w:hint="cs"/>
          <w:b/>
          <w:bCs/>
          <w:sz w:val="28"/>
          <w:szCs w:val="28"/>
          <w:rtl/>
          <w:lang w:bidi="ar-LB"/>
        </w:rPr>
        <w:t>:</w:t>
      </w:r>
      <w:r w:rsidR="00515A09" w:rsidRPr="005800E7">
        <w:rPr>
          <w:rFonts w:ascii="Arial" w:hAnsi="Arial" w:cs="Arial" w:hint="cs"/>
          <w:b/>
          <w:bCs/>
          <w:sz w:val="28"/>
          <w:szCs w:val="28"/>
          <w:u w:val="single"/>
          <w:rtl/>
          <w:lang w:bidi="ar-LB"/>
        </w:rPr>
        <w:t xml:space="preserve"> اسنا</w:t>
      </w:r>
      <w:r w:rsidR="00515A09" w:rsidRPr="005800E7">
        <w:rPr>
          <w:rFonts w:ascii="Arial" w:hAnsi="Arial" w:cs="Arial" w:hint="eastAsia"/>
          <w:b/>
          <w:bCs/>
          <w:sz w:val="28"/>
          <w:szCs w:val="28"/>
          <w:u w:val="single"/>
          <w:rtl/>
          <w:lang w:bidi="ar-LB"/>
        </w:rPr>
        <w:t>د</w:t>
      </w:r>
      <w:r w:rsidR="00E80F9A" w:rsidRPr="005800E7">
        <w:rPr>
          <w:rFonts w:ascii="Arial" w:hAnsi="Arial" w:cs="Arial"/>
          <w:b/>
          <w:bCs/>
          <w:sz w:val="28"/>
          <w:szCs w:val="28"/>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56D71325" w:rsidR="00515A09" w:rsidRDefault="009E73D7" w:rsidP="005800E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51AAE99"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B53A5F">
        <w:rPr>
          <w:rFonts w:asciiTheme="majorBidi" w:hAnsiTheme="majorBidi" w:cs="Times New Roman" w:hint="cs"/>
          <w:color w:val="000000" w:themeColor="text1"/>
          <w:sz w:val="28"/>
          <w:szCs w:val="28"/>
          <w:rtl/>
          <w:lang w:bidi="ar-LB"/>
        </w:rPr>
        <w:t>اربعمائة وعشرون مليوناً</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44589199" w14:textId="14064431" w:rsidR="00442EBF" w:rsidRDefault="009E73D7" w:rsidP="005800E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11AED38" w14:textId="77777777" w:rsidR="005800E7" w:rsidRDefault="005800E7" w:rsidP="005800E7">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w:t>
      </w:r>
      <w:r w:rsidRPr="0033778E">
        <w:rPr>
          <w:rFonts w:ascii="Arial" w:hAnsi="Arial" w:cs="Arial"/>
          <w:sz w:val="32"/>
          <w:szCs w:val="32"/>
          <w:rtl/>
          <w:lang w:bidi="ar-LB"/>
        </w:rPr>
        <w:lastRenderedPageBreak/>
        <w:t>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718D3BE"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B53A5F">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w:t>
      </w:r>
      <w:r w:rsidRPr="009066A5">
        <w:rPr>
          <w:rFonts w:ascii="Arial" w:hAnsi="Arial" w:cs="Arial"/>
          <w:sz w:val="31"/>
          <w:szCs w:val="31"/>
          <w:rtl/>
          <w:lang w:bidi="ar-LB"/>
        </w:rPr>
        <w:lastRenderedPageBreak/>
        <w:t>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010B231D" w:rsidR="00656831" w:rsidRPr="005800E7" w:rsidRDefault="009E73D7" w:rsidP="005800E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3AAA72BE" w:rsidR="001A561B" w:rsidRPr="005800E7" w:rsidRDefault="009E73D7" w:rsidP="005800E7">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3800C7A7" w:rsidR="00AF5763" w:rsidRDefault="009E73D7" w:rsidP="005800E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3BD2" w14:textId="77777777" w:rsidR="00DF7FFE" w:rsidRDefault="00DF7FFE" w:rsidP="00262387">
      <w:r>
        <w:separator/>
      </w:r>
    </w:p>
  </w:endnote>
  <w:endnote w:type="continuationSeparator" w:id="0">
    <w:p w14:paraId="09075C02" w14:textId="77777777" w:rsidR="00DF7FFE" w:rsidRDefault="00DF7FF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207B" w14:textId="77777777" w:rsidR="00DF7FFE" w:rsidRDefault="00DF7FFE" w:rsidP="00262387">
      <w:r>
        <w:separator/>
      </w:r>
    </w:p>
  </w:footnote>
  <w:footnote w:type="continuationSeparator" w:id="0">
    <w:p w14:paraId="57625399" w14:textId="77777777" w:rsidR="00DF7FFE" w:rsidRDefault="00DF7FF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27E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35E5"/>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2602"/>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0E7"/>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18BF"/>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53A5F"/>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10E7"/>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DF7FFE"/>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80B"/>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cp:lastPrinted>2026-01-07T09:43:00Z</cp:lastPrinted>
  <dcterms:created xsi:type="dcterms:W3CDTF">2024-12-19T10:15:00Z</dcterms:created>
  <dcterms:modified xsi:type="dcterms:W3CDTF">2026-01-07T09:48:00Z</dcterms:modified>
</cp:coreProperties>
</file>