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0D85" w14:textId="77777777" w:rsidR="003E594F" w:rsidRPr="00027D3B" w:rsidRDefault="003E594F" w:rsidP="00EB30B4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47828D25" w14:textId="4AC4C4FF" w:rsidR="00B235FD" w:rsidRPr="00027D3B" w:rsidRDefault="003E439E" w:rsidP="00C33606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>إشعار بإجراء عملية</w:t>
      </w:r>
      <w:r w:rsidR="00EB30B4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شراء بطريقة</w:t>
      </w:r>
      <w:r w:rsidR="00CA7C6C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336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مناقصة عمومية</w:t>
      </w:r>
    </w:p>
    <w:p w14:paraId="766D9895" w14:textId="77777777" w:rsidR="00B235FD" w:rsidRPr="00027D3B" w:rsidRDefault="00CA7C6C" w:rsidP="00297452">
      <w:pPr>
        <w:spacing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عملًا بالمذكرة رقم 4/</w:t>
      </w:r>
      <w:r w:rsidRPr="00027D3B">
        <w:rPr>
          <w:rFonts w:ascii="Simplified Arabic" w:eastAsia="Sakkal Majalla" w:hAnsi="Simplified Arabic" w:cs="Simplified Arabic"/>
          <w:b/>
          <w:sz w:val="28"/>
          <w:szCs w:val="28"/>
          <w:rtl/>
        </w:rPr>
        <w:t>ه</w:t>
      </w: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.ش.ع/2022</w:t>
      </w:r>
    </w:p>
    <w:p w14:paraId="65838BA8" w14:textId="77777777" w:rsidR="00B235FD" w:rsidRPr="00027D3B" w:rsidRDefault="00CA7C6C" w:rsidP="009D4EF8">
      <w:pPr>
        <w:spacing w:after="240"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  <w:rtl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الصادرة عن رئيس هيئة الشراء العام بتاريخ 19/8/2022</w:t>
      </w:r>
    </w:p>
    <w:tbl>
      <w:tblPr>
        <w:tblStyle w:val="a"/>
        <w:bidiVisual/>
        <w:tblW w:w="10193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8016"/>
      </w:tblGrid>
      <w:tr w:rsidR="00B235FD" w:rsidRPr="00027D3B" w14:paraId="7C4E6337" w14:textId="77777777" w:rsidTr="00372765">
        <w:trPr>
          <w:trHeight w:val="534"/>
        </w:trPr>
        <w:tc>
          <w:tcPr>
            <w:tcW w:w="2177" w:type="dxa"/>
            <w:vAlign w:val="center"/>
          </w:tcPr>
          <w:p w14:paraId="02918BDE" w14:textId="77777777" w:rsidR="00B235FD" w:rsidRPr="00027D3B" w:rsidRDefault="00CA7C6C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u w:val="single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8016" w:type="dxa"/>
            <w:vAlign w:val="center"/>
          </w:tcPr>
          <w:p w14:paraId="24AF8357" w14:textId="48442726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المصلحة الوطنية لنهر الليطاني</w:t>
            </w:r>
          </w:p>
        </w:tc>
      </w:tr>
      <w:tr w:rsidR="00B235FD" w:rsidRPr="00027D3B" w14:paraId="175F6D47" w14:textId="77777777" w:rsidTr="00372765">
        <w:trPr>
          <w:trHeight w:val="444"/>
        </w:trPr>
        <w:tc>
          <w:tcPr>
            <w:tcW w:w="2177" w:type="dxa"/>
            <w:vAlign w:val="center"/>
          </w:tcPr>
          <w:p w14:paraId="6641382E" w14:textId="77777777" w:rsidR="00B235FD" w:rsidRPr="00027D3B" w:rsidRDefault="00CA7C6C" w:rsidP="007F36D7">
            <w:pPr>
              <w:spacing w:line="240" w:lineRule="auto"/>
              <w:ind w:firstLine="0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8016" w:type="dxa"/>
            <w:vAlign w:val="center"/>
          </w:tcPr>
          <w:p w14:paraId="6F1518A5" w14:textId="74FA7D5C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بيروت – شارع الشيخ بشارة الخوري – بناية غناجة</w:t>
            </w:r>
          </w:p>
        </w:tc>
      </w:tr>
    </w:tbl>
    <w:p w14:paraId="42EFEFAB" w14:textId="77777777" w:rsidR="00B235FD" w:rsidRPr="003A68BD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B235FD" w:rsidRPr="00027D3B" w14:paraId="32E2D4ED" w14:textId="77777777" w:rsidTr="00711161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27D3B" w:rsidRDefault="00CA7C6C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معلومات عن الصفقة</w:t>
            </w:r>
          </w:p>
        </w:tc>
      </w:tr>
      <w:tr w:rsidR="00B235FD" w:rsidRPr="00027D3B" w14:paraId="1AA3F9A2" w14:textId="77777777" w:rsidTr="00711161">
        <w:trPr>
          <w:trHeight w:val="467"/>
        </w:trPr>
        <w:tc>
          <w:tcPr>
            <w:tcW w:w="2512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27D3B" w:rsidRDefault="00CA7C6C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9E09CA3" w14:textId="67AA4DB2" w:rsidR="00B235FD" w:rsidRDefault="00996711" w:rsidP="00DB453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صفقات </w:t>
            </w:r>
            <w:r w:rsidR="00DB453C" w:rsidRPr="00DB453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120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/202</w:t>
            </w:r>
            <w:r w:rsidR="00834E8B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5</w:t>
            </w:r>
          </w:p>
          <w:p w14:paraId="3DFC7F14" w14:textId="50400BAD" w:rsidR="00A05748" w:rsidRPr="00027D3B" w:rsidRDefault="004B689E" w:rsidP="004B689E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LB-LRA-513082</w:t>
            </w:r>
            <w:r w:rsidR="00A0574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-CS-</w:t>
            </w:r>
            <w:r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INDV</w:t>
            </w:r>
          </w:p>
        </w:tc>
      </w:tr>
      <w:tr w:rsidR="00B235FD" w:rsidRPr="00027D3B" w14:paraId="19C0E97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27D3B" w:rsidRDefault="00CA7C6C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28E63FF8" w:rsidR="00B235FD" w:rsidRPr="00027D3B" w:rsidRDefault="004B689E" w:rsidP="004B689E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تعاقد المصلحة الوطنية لنهر الليطاني مع خبير استشاري كمساعد لرئيس وحدة ادارة مشروع </w:t>
            </w:r>
            <w:r w:rsidR="0007374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تعزيز الطاقة المتجددة وتقوية النظام الكهربائي في لبنان</w:t>
            </w:r>
            <w:r w:rsidR="00984E1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للجزء العائد للمصلحة الوطنية لنهر الليطاني</w:t>
            </w:r>
          </w:p>
        </w:tc>
      </w:tr>
      <w:tr w:rsidR="00203922" w:rsidRPr="00027D3B" w14:paraId="0BC1BB95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7F379B" w14:textId="51629C1B" w:rsidR="00203922" w:rsidRPr="00027D3B" w:rsidRDefault="00203922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مصدر تمويل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853151" w14:textId="05C17A73" w:rsidR="00203922" w:rsidRPr="00027D3B" w:rsidRDefault="00625B70" w:rsidP="00730B25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قرض </w:t>
            </w:r>
            <w:r w:rsidR="00984E1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البنك الدولي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رقم </w:t>
            </w:r>
            <w:r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IBRD-9731</w:t>
            </w:r>
          </w:p>
        </w:tc>
      </w:tr>
      <w:tr w:rsidR="00996711" w:rsidRPr="00027D3B" w14:paraId="2306D1CA" w14:textId="77777777" w:rsidTr="00711161"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996711" w:rsidRPr="00027D3B" w:rsidRDefault="00996711" w:rsidP="0099671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539BD66" w14:textId="5808DAE6" w:rsidR="00996711" w:rsidRPr="00730B25" w:rsidRDefault="004B689E" w:rsidP="00372765">
            <w:pPr>
              <w:pStyle w:val="ListParagraph"/>
              <w:spacing w:line="240" w:lineRule="auto"/>
              <w:ind w:left="30"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يشمل نطاق الاعمال تقديم خدمات استشارية بدوام كامل لخبير </w:t>
            </w:r>
            <w:r w:rsidR="00CB22D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مهندس كهربائي</w:t>
            </w:r>
            <w:r w:rsidR="009F623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،</w:t>
            </w:r>
            <w:r w:rsidR="00CB22D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كمساعد لرئيس وحدة ادارة مشروع تعزيز الطاقة المتجددة وتقوية النظام الكهربائي في لبنان </w:t>
            </w:r>
            <w:r w:rsidR="00EE4FA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، </w:t>
            </w:r>
            <w:r w:rsidR="00CB22D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للجزء العائد للمصلحة الوطنية لنهر الليطاني</w:t>
            </w:r>
            <w:r w:rsidR="00CB22D0" w:rsidRPr="00730B2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B22D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، و</w:t>
            </w:r>
            <w:r w:rsidR="00984E14" w:rsidRPr="00730B2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تشمل مهام </w:t>
            </w:r>
            <w:r w:rsidR="00CB22D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الخبير</w:t>
            </w:r>
            <w:r w:rsidR="00984E14" w:rsidRPr="00730B2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الاستشاري ما يلي:</w:t>
            </w:r>
          </w:p>
          <w:p w14:paraId="547B8E16" w14:textId="6A147C57" w:rsidR="00730CD3" w:rsidRPr="00984E14" w:rsidRDefault="00730B25" w:rsidP="00DB453C">
            <w:pPr>
              <w:pStyle w:val="ListParagraph"/>
              <w:spacing w:line="240" w:lineRule="auto"/>
              <w:ind w:left="30"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730B2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تقديم الدعم </w:t>
            </w:r>
            <w:r w:rsidR="00CB22D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الفني والاداري لوحدة ادارة المشروع </w:t>
            </w:r>
            <w:r w:rsidR="009F7800">
              <w:rPr>
                <w:rFonts w:ascii="Simplified Arabic" w:hAnsi="Simplified Arabic" w:cs="Simplified Arabic"/>
                <w:color w:val="000000"/>
                <w:sz w:val="24"/>
                <w:szCs w:val="24"/>
                <w:lang w:bidi="ar-LB"/>
              </w:rPr>
              <w:t>PMT</w:t>
            </w:r>
            <w:r w:rsidR="009F780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 w:rsidR="00CB22D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لاسيما مراجعة كافة </w:t>
            </w:r>
            <w:r w:rsidR="00EE4FA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دفاتر الشروط وكافة </w:t>
            </w:r>
            <w:r w:rsidR="00CB22D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التقارير الفنية الصادرة عن المهندس المستشار </w:t>
            </w:r>
            <w:r w:rsidR="00CB22D0">
              <w:rPr>
                <w:rFonts w:ascii="Simplified Arabic" w:hAnsi="Simplified Arabic" w:cs="Simplified Arabic"/>
                <w:color w:val="000000"/>
                <w:sz w:val="24"/>
                <w:szCs w:val="24"/>
                <w:lang w:bidi="ar-LB"/>
              </w:rPr>
              <w:t>Owner’s Engineer</w:t>
            </w:r>
            <w:r w:rsidRPr="00730B2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B22D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ومراجعة كافة الخرائط الجديدة ل</w:t>
            </w:r>
            <w:r w:rsidRPr="00730B2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معدات توليد الكهرباء الرئيسية بالإضافة إلى أنظمة المراقبة والتحكم في معامل </w:t>
            </w:r>
            <w:r w:rsidR="0037276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انتاج </w:t>
            </w:r>
            <w:r w:rsidRPr="00730B2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الطاقة الكهرومائية في جون والأوّلي ومركبا بما في ذلك، على سبيل المثال لا الحصر، إعادة تأهيل التوربينات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،</w:t>
            </w:r>
            <w:r w:rsidRPr="00730B2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استبدال منظمات السرعة</w:t>
            </w:r>
            <w:r w:rsidR="00EE4FA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EE4FA4">
              <w:rPr>
                <w:rFonts w:ascii="Simplified Arabic" w:hAnsi="Simplified Arabic" w:cs="Simplified Arabic"/>
                <w:color w:val="000000"/>
                <w:sz w:val="24"/>
                <w:szCs w:val="24"/>
                <w:lang w:bidi="ar-LB"/>
              </w:rPr>
              <w:t>Governors</w:t>
            </w:r>
            <w:r w:rsidRPr="00730B2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EE4FA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و</w:t>
            </w:r>
            <w:r w:rsidRPr="00730B2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منظّمات الجهد</w:t>
            </w:r>
            <w:r w:rsidR="00EE4FA4">
              <w:rPr>
                <w:rFonts w:ascii="Simplified Arabic" w:hAnsi="Simplified Arabic" w:cs="Simplified Arabic"/>
                <w:color w:val="000000"/>
                <w:sz w:val="24"/>
                <w:szCs w:val="24"/>
                <w:lang w:bidi="ar-LB"/>
              </w:rPr>
              <w:t xml:space="preserve">AVR </w:t>
            </w:r>
            <w:r w:rsidR="00EE4FA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واستبدال أنظمة التحكم</w:t>
            </w:r>
            <w:r w:rsidR="00EE4FA4">
              <w:rPr>
                <w:rFonts w:ascii="Simplified Arabic" w:hAnsi="Simplified Arabic" w:cs="Simplified Arabic"/>
                <w:color w:val="000000"/>
                <w:sz w:val="24"/>
                <w:szCs w:val="24"/>
                <w:lang w:bidi="ar-LB"/>
              </w:rPr>
              <w:t xml:space="preserve">SCADA </w:t>
            </w:r>
            <w:r w:rsidR="00EE4FA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والمراقبة و</w:t>
            </w:r>
            <w:r w:rsidRPr="00730B2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الحماية</w:t>
            </w:r>
            <w:r w:rsidR="00CB22D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، واعداد التقارير الفنية وتحضير اجتماعات العمل والتنسيق الدائم مع فريق البنك الدولي الذي يتابع تنفيذ المشروع ومع الاستشاري</w:t>
            </w:r>
            <w:r w:rsidR="00EE4FA4">
              <w:rPr>
                <w:rFonts w:ascii="Simplified Arabic" w:hAnsi="Simplified Arabic" w:cs="Simplified Arabic"/>
                <w:color w:val="000000"/>
                <w:sz w:val="24"/>
                <w:szCs w:val="24"/>
                <w:lang w:bidi="ar-LB"/>
              </w:rPr>
              <w:t xml:space="preserve"> OE </w:t>
            </w:r>
            <w:r w:rsidR="00CB22D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والمتعهد الذي يقوم بتنفيذ الاشغال </w:t>
            </w:r>
            <w:r w:rsidR="00EE4FA4">
              <w:rPr>
                <w:rFonts w:ascii="Simplified Arabic" w:hAnsi="Simplified Arabic" w:cs="Simplified Arabic"/>
                <w:color w:val="000000"/>
                <w:sz w:val="24"/>
                <w:szCs w:val="24"/>
                <w:lang w:bidi="ar-LB"/>
              </w:rPr>
              <w:t>.</w:t>
            </w:r>
          </w:p>
        </w:tc>
      </w:tr>
      <w:tr w:rsidR="00B235FD" w:rsidRPr="00027D3B" w14:paraId="5AF41A2B" w14:textId="77777777" w:rsidTr="00711161">
        <w:trPr>
          <w:trHeight w:val="413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0DC25D30" w:rsidR="00B235FD" w:rsidRPr="00027D3B" w:rsidRDefault="00CA7C6C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511EA918" w:rsidR="00B235FD" w:rsidRPr="00027D3B" w:rsidRDefault="00730CD3" w:rsidP="007F36D7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خدمات استشارية</w:t>
            </w:r>
          </w:p>
        </w:tc>
      </w:tr>
      <w:tr w:rsidR="00B235FD" w:rsidRPr="00027D3B" w14:paraId="40815D4D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27D3B" w:rsidRDefault="00CA7C6C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02FE7EE7" w:rsidR="00B235FD" w:rsidRPr="00027D3B" w:rsidRDefault="00C33606" w:rsidP="00730CD3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  <w:r w:rsidR="00EE4FA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لخبير فردي </w:t>
            </w:r>
            <w:r w:rsidR="00EE4FA4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IC</w:t>
            </w:r>
            <w:r w:rsidR="00EE4FA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 w:rsidR="00E03E6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وفق شروط البنك الدولي</w:t>
            </w:r>
            <w:r w:rsidR="00730CD3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="00730CD3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دعوة لإبداء الاهتمام </w:t>
            </w:r>
            <w:r w:rsidR="002E463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9A3962" w:rsidRPr="00027D3B" w14:paraId="3804D619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27D3B" w:rsidRDefault="009A3962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74BE1C" w:rsidR="009A3962" w:rsidRPr="00027D3B" w:rsidRDefault="00730CD3" w:rsidP="00E03E65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العرض ال</w:t>
            </w:r>
            <w:r w:rsidR="00E03E6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فني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الأفضل</w:t>
            </w:r>
            <w:r w:rsidR="009A3962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27D3B" w:rsidRPr="00027D3B" w14:paraId="1B0205D1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6901E4" w14:textId="70BFF7D8" w:rsidR="00027D3B" w:rsidRPr="00027D3B" w:rsidRDefault="00027D3B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المجموعات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77A5455" w14:textId="3F816F0B" w:rsidR="00027D3B" w:rsidRPr="00027D3B" w:rsidRDefault="00027D3B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مجموعة واحدة</w:t>
            </w:r>
          </w:p>
        </w:tc>
      </w:tr>
      <w:tr w:rsidR="009C7559" w:rsidRPr="00027D3B" w14:paraId="7449883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Pr="00027D3B" w:rsidRDefault="009C7559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استخدام الإتفاق الإطاري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5CE9FE92" w:rsidR="009C7559" w:rsidRPr="00027D3B" w:rsidRDefault="009C7559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A049F7" w:rsidRPr="00027D3B" w14:paraId="31668AFA" w14:textId="77777777" w:rsidTr="00372765">
        <w:trPr>
          <w:trHeight w:val="426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27D3B" w:rsidRDefault="00A049F7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04D9D4A6" w:rsidR="00A049F7" w:rsidRPr="00027D3B" w:rsidRDefault="00333176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203922" w:rsidRPr="00027D3B" w14:paraId="2F370535" w14:textId="77777777" w:rsidTr="00372765">
        <w:trPr>
          <w:trHeight w:val="444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9B19F6" w14:textId="6C9BAC83" w:rsidR="00203922" w:rsidRPr="00027D3B" w:rsidRDefault="003D5F40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بدل</w:t>
            </w:r>
            <w:r w:rsidR="00203922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الشروط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المرجعية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3FB607" w14:textId="17CA07E4" w:rsidR="00203922" w:rsidRPr="00027D3B" w:rsidRDefault="00625B70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مجاني</w:t>
            </w:r>
          </w:p>
        </w:tc>
      </w:tr>
      <w:tr w:rsidR="00B235FD" w:rsidRPr="00027D3B" w14:paraId="73B19803" w14:textId="77777777" w:rsidTr="00834E8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27D3B" w:rsidRDefault="00297452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65E00029" w:rsidR="00B235FD" w:rsidRPr="00027D3B" w:rsidRDefault="00CA7C6C" w:rsidP="003D5F4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FF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ان </w:t>
            </w:r>
            <w:r w:rsidRPr="00027D3B">
              <w:rPr>
                <w:rFonts w:ascii="Simplified Arabic" w:hAnsi="Simplified Arabic" w:cs="Simplified Arabic"/>
                <w:sz w:val="24"/>
                <w:szCs w:val="24"/>
                <w:rtl/>
              </w:rPr>
              <w:t>الشروط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  <w:r w:rsidR="003D5F4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المرجعية 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متوفر</w:t>
            </w:r>
            <w:r w:rsidR="003D5F4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ة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  <w:r w:rsidR="003108C0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باللغة </w:t>
            </w:r>
            <w:r w:rsidR="00625B7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الاجنبية</w:t>
            </w:r>
          </w:p>
        </w:tc>
      </w:tr>
      <w:tr w:rsidR="00203922" w:rsidRPr="00027D3B" w14:paraId="4FAF84ED" w14:textId="77777777" w:rsidTr="00184CFA">
        <w:trPr>
          <w:trHeight w:val="624"/>
        </w:trPr>
        <w:tc>
          <w:tcPr>
            <w:tcW w:w="2512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358D" w14:textId="77777777" w:rsidR="00203922" w:rsidRPr="00027D3B" w:rsidRDefault="00203922" w:rsidP="004226B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51626" w14:textId="5F29B4A7" w:rsidR="00625B70" w:rsidRPr="00625B70" w:rsidRDefault="00372765" w:rsidP="009F623C">
            <w:pPr>
              <w:pStyle w:val="NormalWeb"/>
              <w:numPr>
                <w:ilvl w:val="0"/>
                <w:numId w:val="5"/>
              </w:numPr>
              <w:bidi/>
              <w:ind w:left="360"/>
              <w:rPr>
                <w:rFonts w:ascii="Simplified Arabic" w:hAnsi="Simplified Arabic" w:cs="Simplified Arabic"/>
                <w:color w:val="000000"/>
              </w:rPr>
            </w:pPr>
            <w:r>
              <w:rPr>
                <w:rFonts w:ascii="Simplified Arabic" w:hAnsi="Simplified Arabic" w:cs="Simplified Arabic" w:hint="cs"/>
                <w:color w:val="000000"/>
                <w:rtl/>
              </w:rPr>
              <w:t>مراجعة الاعلان والشروط المرجعية</w:t>
            </w:r>
          </w:p>
        </w:tc>
      </w:tr>
    </w:tbl>
    <w:p w14:paraId="2E3499B5" w14:textId="1E4C01D0" w:rsidR="00B235FD" w:rsidRPr="003A68BD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</w:rPr>
      </w:pPr>
    </w:p>
    <w:p w14:paraId="72703907" w14:textId="77777777" w:rsidR="00184CFA" w:rsidRPr="003A68BD" w:rsidRDefault="00184CFA" w:rsidP="003E594F">
      <w:pPr>
        <w:spacing w:line="240" w:lineRule="auto"/>
        <w:ind w:firstLine="0"/>
        <w:jc w:val="both"/>
        <w:rPr>
          <w:rFonts w:ascii="Simplified Arabic" w:hAnsi="Simplified Arabic" w:cs="Simplified Arabic"/>
          <w:sz w:val="16"/>
          <w:szCs w:val="16"/>
        </w:rPr>
      </w:pPr>
    </w:p>
    <w:p w14:paraId="5648A592" w14:textId="77777777" w:rsidR="00184CFA" w:rsidRPr="00027D3B" w:rsidRDefault="00184CFA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5862060D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59AD81" w14:textId="3BBF1D6D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تواريخ ومهل</w:t>
            </w:r>
            <w:r w:rsidR="00333176">
              <w:rPr>
                <w:rFonts w:ascii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 xml:space="preserve"> وأماكن</w:t>
            </w:r>
          </w:p>
        </w:tc>
      </w:tr>
      <w:tr w:rsidR="007B6BDC" w:rsidRPr="00027D3B" w14:paraId="5063856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238288" w14:textId="12A0E1D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386B4" w14:textId="5CE34759" w:rsidR="007B6BDC" w:rsidRPr="00027D3B" w:rsidRDefault="00B82A68" w:rsidP="007E440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الخميس</w:t>
            </w:r>
            <w:r w:rsidR="00126FC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7E440B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04</w:t>
            </w:r>
            <w:r w:rsidR="00126FC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/12/2025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عند الساعة العاشرة صباحاً</w:t>
            </w:r>
            <w:r w:rsidR="0033317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بالتوقيت المحلي</w:t>
            </w:r>
          </w:p>
        </w:tc>
      </w:tr>
      <w:tr w:rsidR="00333176" w:rsidRPr="00027D3B" w14:paraId="2ACF4F2C" w14:textId="77777777" w:rsidTr="00AC7AEA">
        <w:trPr>
          <w:trHeight w:val="440"/>
        </w:trPr>
        <w:tc>
          <w:tcPr>
            <w:tcW w:w="2843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1DA39E3E" w14:textId="2791F1EF" w:rsidR="00333176" w:rsidRPr="00027D3B" w:rsidRDefault="00333176" w:rsidP="00333176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مكان استلام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الشروط المرجعية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9AD345F" w14:textId="6EAFE92F" w:rsidR="00333176" w:rsidRDefault="00333176" w:rsidP="00AC7AE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  <w:r w:rsidR="003D5F4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 </w:t>
            </w:r>
          </w:p>
          <w:p w14:paraId="6D919753" w14:textId="5C38AE15" w:rsidR="003D5F40" w:rsidRDefault="003D5F40" w:rsidP="00AC7AE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أو عبر الموقع الالكتروني التالي:</w:t>
            </w:r>
          </w:p>
          <w:p w14:paraId="64BF0823" w14:textId="77777777" w:rsidR="003D5F40" w:rsidRPr="003D5F40" w:rsidRDefault="003D5F40" w:rsidP="003D5F4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3D5F40">
              <w:rPr>
                <w:i/>
                <w:iCs/>
                <w:color w:val="17365D" w:themeColor="text2" w:themeShade="BF"/>
                <w:sz w:val="24"/>
                <w:szCs w:val="24"/>
              </w:rPr>
              <w:t>https://www.litani.gov.lb/en-us/aboutlra/wordbankagreement</w:t>
            </w:r>
          </w:p>
          <w:p w14:paraId="28FA710A" w14:textId="111DC720" w:rsidR="003D5F40" w:rsidRPr="00027D3B" w:rsidRDefault="00730B25" w:rsidP="00AC7AE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أو عبر الموقع الالكتروني للبنك الدولي</w:t>
            </w:r>
          </w:p>
        </w:tc>
      </w:tr>
      <w:tr w:rsidR="00333176" w:rsidRPr="00027D3B" w14:paraId="544E550D" w14:textId="77777777" w:rsidTr="00AC7AEA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E1D09D9" w14:textId="77777777" w:rsidR="00333176" w:rsidRPr="00027D3B" w:rsidRDefault="00333176" w:rsidP="00AC7AEA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7EBBB9" w14:textId="77777777" w:rsidR="00333176" w:rsidRDefault="00333176" w:rsidP="003D5F4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تقديم العروض الخطية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  <w:p w14:paraId="6B0FB2E1" w14:textId="6FE65FAE" w:rsidR="003D5F40" w:rsidRPr="003D5F40" w:rsidRDefault="003D5F40" w:rsidP="00D92F9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أو عبر البريد الالكتروني التالي:</w:t>
            </w:r>
            <w:hyperlink r:id="rId7" w:history="1"/>
            <w:r w:rsidRPr="00B9056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</w:t>
            </w:r>
            <w:hyperlink r:id="rId8" w:history="1">
              <w:r w:rsidRPr="00B90568">
                <w:rPr>
                  <w:rStyle w:val="Hyperlink"/>
                  <w:rFonts w:asciiTheme="majorBidi" w:eastAsia="Calibri" w:hAnsiTheme="majorBidi" w:cstheme="majorBidi"/>
                  <w:sz w:val="24"/>
                  <w:szCs w:val="24"/>
                </w:rPr>
                <w:t>gammoury@litani.gov.lb</w:t>
              </w:r>
            </w:hyperlink>
            <w:r w:rsidRPr="00B9056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333176" w:rsidRPr="00027D3B" w14:paraId="74DCF452" w14:textId="77777777" w:rsidTr="00AC7AEA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C21C28A" w14:textId="77777777" w:rsidR="00333176" w:rsidRPr="00027D3B" w:rsidRDefault="00333176" w:rsidP="00AC7AEA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6311AC7" w14:textId="2025EDC2" w:rsidR="00333176" w:rsidRPr="00027D3B" w:rsidRDefault="00333176" w:rsidP="003D5F4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bookmarkStart w:id="0" w:name="_GoBack"/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مكاتب المصلحة الوطنية لنهر الليطاني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بيروت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بناية غناجة </w:t>
            </w:r>
            <w:bookmarkEnd w:id="0"/>
          </w:p>
        </w:tc>
      </w:tr>
      <w:tr w:rsidR="00333176" w:rsidRPr="00027D3B" w14:paraId="1BB89120" w14:textId="77777777" w:rsidTr="00AC7AEA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5D830" w14:textId="77777777" w:rsidR="00333176" w:rsidRPr="00027D3B" w:rsidRDefault="00333176" w:rsidP="00AC7AEA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38095" w14:textId="77777777" w:rsidR="00333176" w:rsidRPr="00027D3B" w:rsidRDefault="00333176" w:rsidP="00AC7AE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184CF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يمكن للعارضين الحصول على معلومات إضافية خلال ساعات العمل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عبر التواصل مع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مصلحة الصفقات في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المصلحة الوطنية لنهر الليطاني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على الرقم التالي 662118/01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و عبر البريد الالكتروني 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43EB34E9" w14:textId="77777777" w:rsidR="00027D3B" w:rsidRPr="00333176" w:rsidRDefault="00027D3B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2E5069AA" w14:textId="78D4A1A1" w:rsidR="004F7D0E" w:rsidRDefault="004F7D0E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32F9A6FB" w14:textId="77777777" w:rsidR="004F7D0E" w:rsidRP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10499095" w14:textId="2E87C4B9" w:rsid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2992C95F" w14:textId="7F440505" w:rsidR="00027D3B" w:rsidRPr="004F7D0E" w:rsidRDefault="004F7D0E" w:rsidP="004F7D0E">
      <w:pPr>
        <w:tabs>
          <w:tab w:val="left" w:pos="5049"/>
        </w:tabs>
        <w:jc w:val="left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</w:p>
    <w:sectPr w:rsidR="00027D3B" w:rsidRPr="004F7D0E" w:rsidSect="00184C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40" w:right="386" w:bottom="810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D44E7" w14:textId="77777777" w:rsidR="00CA1611" w:rsidRDefault="00CA1611">
      <w:pPr>
        <w:spacing w:line="240" w:lineRule="auto"/>
      </w:pPr>
      <w:r>
        <w:separator/>
      </w:r>
    </w:p>
  </w:endnote>
  <w:endnote w:type="continuationSeparator" w:id="0">
    <w:p w14:paraId="744B2093" w14:textId="77777777" w:rsidR="00CA1611" w:rsidRDefault="00CA16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29002961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361C95" w14:textId="49C024F4" w:rsidR="004F7D0E" w:rsidRDefault="004F7D0E" w:rsidP="004F7D0E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2CB0"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2CB0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F1F9D" w14:textId="396CC7B4" w:rsidR="00184CFA" w:rsidRDefault="00184CFA" w:rsidP="00184CFA">
    <w:pPr>
      <w:pStyle w:val="Footer"/>
      <w:jc w:val="center"/>
      <w:rPr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6B2F7" w14:textId="77777777" w:rsidR="00CA1611" w:rsidRDefault="00CA1611">
      <w:pPr>
        <w:spacing w:line="240" w:lineRule="auto"/>
      </w:pPr>
      <w:r>
        <w:separator/>
      </w:r>
    </w:p>
  </w:footnote>
  <w:footnote w:type="continuationSeparator" w:id="0">
    <w:p w14:paraId="61AA9B83" w14:textId="77777777" w:rsidR="00CA1611" w:rsidRDefault="00CA16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12316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12316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03922" w14:paraId="69648C43" w14:textId="77777777" w:rsidTr="004226BD">
      <w:tc>
        <w:tcPr>
          <w:tcW w:w="9351" w:type="dxa"/>
        </w:tcPr>
        <w:p w14:paraId="01D42940" w14:textId="6EE25928" w:rsidR="00203922" w:rsidRDefault="00203922" w:rsidP="00203922">
          <w:pPr>
            <w:pStyle w:val="Header"/>
            <w:jc w:val="right"/>
          </w:pPr>
          <w:r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435FFE01" wp14:editId="791776B2">
                <wp:extent cx="5939790" cy="847725"/>
                <wp:effectExtent l="0" t="0" r="3810" b="952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433F2B15" w14:textId="77777777" w:rsidR="00203922" w:rsidRDefault="00203922" w:rsidP="00203922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3B438E1E" wp14:editId="29AFD8B6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1EEA106" w14:textId="7C834498" w:rsidR="006F2D5C" w:rsidRPr="006F2D5C" w:rsidRDefault="00DE21A8" w:rsidP="006F2D5C">
    <w:pPr>
      <w:spacing w:line="276" w:lineRule="auto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65C9B2" wp14:editId="0A0270AF">
              <wp:simplePos x="0" y="0"/>
              <wp:positionH relativeFrom="column">
                <wp:posOffset>4116705</wp:posOffset>
              </wp:positionH>
              <wp:positionV relativeFrom="paragraph">
                <wp:posOffset>-645160</wp:posOffset>
              </wp:positionV>
              <wp:extent cx="1633888" cy="521368"/>
              <wp:effectExtent l="0" t="0" r="0" b="0"/>
              <wp:wrapNone/>
              <wp:docPr id="444779058" name="Text Box 4447790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888" cy="5213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8E0DC" w14:textId="77777777" w:rsidR="00203922" w:rsidRPr="00856AA4" w:rsidRDefault="00203922" w:rsidP="00203922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63670268" w14:textId="77777777" w:rsidR="00203922" w:rsidRPr="00287190" w:rsidRDefault="00203922" w:rsidP="00203922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165C9B2" id="_x0000_t202" coordsize="21600,21600" o:spt="202" path="m,l,21600r21600,l21600,xe">
              <v:stroke joinstyle="miter"/>
              <v:path gradientshapeok="t" o:connecttype="rect"/>
            </v:shapetype>
            <v:shape id="Text Box 444779058" o:spid="_x0000_s1027" type="#_x0000_t202" style="position:absolute;left:0;text-align:left;margin-left:324.15pt;margin-top:-50.8pt;width:128.65pt;height:4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" filled="f" stroked="f">
              <v:textbox>
                <w:txbxContent>
                  <w:p w14:paraId="06C8E0DC" w14:textId="77777777" w:rsidR="00203922" w:rsidRPr="00856AA4" w:rsidRDefault="00203922" w:rsidP="00203922">
                    <w:pPr>
                      <w:pStyle w:val="Header"/>
                      <w:tabs>
                        <w:tab w:val="left" w:pos="2580"/>
                        <w:tab w:val="left" w:pos="3240"/>
                      </w:tabs>
                      <w:bidi/>
                      <w:spacing w:line="276" w:lineRule="auto"/>
                      <w:jc w:val="both"/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</w:pP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الجمهورية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</w:t>
                    </w: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اللبنانية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  </w:t>
                    </w:r>
                  </w:p>
                  <w:p w14:paraId="63670268" w14:textId="77777777" w:rsidR="00203922" w:rsidRPr="00287190" w:rsidRDefault="00203922" w:rsidP="00203922">
                    <w:pPr>
                      <w:spacing w:line="276" w:lineRule="auto"/>
                      <w:jc w:val="left"/>
                    </w:pPr>
                    <w:r>
                      <w:rPr>
                        <w:rFonts w:ascii="Arial" w:hAnsi="Arial" w:cs="Arial" w:hint="cs"/>
                        <w:color w:val="17365D" w:themeColor="text2" w:themeShade="BF"/>
                        <w:sz w:val="24"/>
                        <w:szCs w:val="24"/>
                        <w:rtl/>
                      </w:rPr>
                      <w:t>هيئة الشراء العام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C3534"/>
    <w:multiLevelType w:val="hybridMultilevel"/>
    <w:tmpl w:val="7D082D10"/>
    <w:lvl w:ilvl="0" w:tplc="7FC66C2E">
      <w:numFmt w:val="bullet"/>
      <w:lvlText w:val="-"/>
      <w:lvlJc w:val="left"/>
      <w:pPr>
        <w:ind w:left="2668" w:hanging="267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47E67B2C"/>
    <w:multiLevelType w:val="hybridMultilevel"/>
    <w:tmpl w:val="DF6846AA"/>
    <w:lvl w:ilvl="0" w:tplc="A4F49148">
      <w:numFmt w:val="bullet"/>
      <w:lvlText w:val="-"/>
      <w:lvlJc w:val="left"/>
      <w:pPr>
        <w:ind w:left="358" w:hanging="360"/>
      </w:pPr>
      <w:rPr>
        <w:rFonts w:ascii="Simplified Arabic" w:eastAsia="Times New Roman" w:hAnsi="Simplified Arabic" w:cs="Simplified Arabic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578F5F5E"/>
    <w:multiLevelType w:val="multilevel"/>
    <w:tmpl w:val="A8BE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D71C91"/>
    <w:multiLevelType w:val="hybridMultilevel"/>
    <w:tmpl w:val="DC74E4F0"/>
    <w:lvl w:ilvl="0" w:tplc="43F699E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" w15:restartNumberingAfterBreak="0">
    <w:nsid w:val="6EB1487F"/>
    <w:multiLevelType w:val="hybridMultilevel"/>
    <w:tmpl w:val="0FF6B2E4"/>
    <w:lvl w:ilvl="0" w:tplc="DA1C211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16703"/>
    <w:rsid w:val="00027D3B"/>
    <w:rsid w:val="00051B21"/>
    <w:rsid w:val="00057E7A"/>
    <w:rsid w:val="00064893"/>
    <w:rsid w:val="00073746"/>
    <w:rsid w:val="000B7C36"/>
    <w:rsid w:val="000C323F"/>
    <w:rsid w:val="000C4C75"/>
    <w:rsid w:val="000F5BBC"/>
    <w:rsid w:val="0010364A"/>
    <w:rsid w:val="001176D5"/>
    <w:rsid w:val="00122CB0"/>
    <w:rsid w:val="00123167"/>
    <w:rsid w:val="00126FC5"/>
    <w:rsid w:val="001532FA"/>
    <w:rsid w:val="001556FE"/>
    <w:rsid w:val="0018466D"/>
    <w:rsid w:val="00184CFA"/>
    <w:rsid w:val="00191F1F"/>
    <w:rsid w:val="001A4716"/>
    <w:rsid w:val="001B03BC"/>
    <w:rsid w:val="00203922"/>
    <w:rsid w:val="00206B49"/>
    <w:rsid w:val="0021171F"/>
    <w:rsid w:val="00211A43"/>
    <w:rsid w:val="002208E1"/>
    <w:rsid w:val="00232E85"/>
    <w:rsid w:val="00241015"/>
    <w:rsid w:val="00257D4C"/>
    <w:rsid w:val="002846FE"/>
    <w:rsid w:val="0029172A"/>
    <w:rsid w:val="00297452"/>
    <w:rsid w:val="002B1B8B"/>
    <w:rsid w:val="002B494C"/>
    <w:rsid w:val="002B7048"/>
    <w:rsid w:val="002C14E6"/>
    <w:rsid w:val="002C1EC4"/>
    <w:rsid w:val="002D7A72"/>
    <w:rsid w:val="002E4633"/>
    <w:rsid w:val="003108C0"/>
    <w:rsid w:val="00312085"/>
    <w:rsid w:val="00333176"/>
    <w:rsid w:val="00337B76"/>
    <w:rsid w:val="00372765"/>
    <w:rsid w:val="00376DEB"/>
    <w:rsid w:val="003A68BD"/>
    <w:rsid w:val="003D35EC"/>
    <w:rsid w:val="003D5F40"/>
    <w:rsid w:val="003E439E"/>
    <w:rsid w:val="003E594F"/>
    <w:rsid w:val="00421177"/>
    <w:rsid w:val="00421691"/>
    <w:rsid w:val="00421EC2"/>
    <w:rsid w:val="00426B60"/>
    <w:rsid w:val="00493266"/>
    <w:rsid w:val="004A1335"/>
    <w:rsid w:val="004B062A"/>
    <w:rsid w:val="004B689E"/>
    <w:rsid w:val="004C34D2"/>
    <w:rsid w:val="004E191E"/>
    <w:rsid w:val="004F6185"/>
    <w:rsid w:val="004F7D0E"/>
    <w:rsid w:val="00511D80"/>
    <w:rsid w:val="0053774B"/>
    <w:rsid w:val="00560775"/>
    <w:rsid w:val="005A0FD0"/>
    <w:rsid w:val="005A5719"/>
    <w:rsid w:val="005E43E4"/>
    <w:rsid w:val="00602315"/>
    <w:rsid w:val="00607625"/>
    <w:rsid w:val="00614D21"/>
    <w:rsid w:val="00625B70"/>
    <w:rsid w:val="00646963"/>
    <w:rsid w:val="00693D36"/>
    <w:rsid w:val="006B5B5A"/>
    <w:rsid w:val="006C7163"/>
    <w:rsid w:val="006E5875"/>
    <w:rsid w:val="006F2D5C"/>
    <w:rsid w:val="00710D03"/>
    <w:rsid w:val="00711161"/>
    <w:rsid w:val="00730B25"/>
    <w:rsid w:val="00730CD3"/>
    <w:rsid w:val="007524D1"/>
    <w:rsid w:val="0079090C"/>
    <w:rsid w:val="00795C6E"/>
    <w:rsid w:val="007B63D1"/>
    <w:rsid w:val="007B6BDC"/>
    <w:rsid w:val="007E2C66"/>
    <w:rsid w:val="007E440B"/>
    <w:rsid w:val="007F36D7"/>
    <w:rsid w:val="007F6601"/>
    <w:rsid w:val="00801F32"/>
    <w:rsid w:val="0081782A"/>
    <w:rsid w:val="00821674"/>
    <w:rsid w:val="00823E2E"/>
    <w:rsid w:val="00834E8B"/>
    <w:rsid w:val="008D3049"/>
    <w:rsid w:val="008E70EB"/>
    <w:rsid w:val="0091237C"/>
    <w:rsid w:val="009132BD"/>
    <w:rsid w:val="009168D1"/>
    <w:rsid w:val="00924250"/>
    <w:rsid w:val="00925BF0"/>
    <w:rsid w:val="0092753D"/>
    <w:rsid w:val="00940B28"/>
    <w:rsid w:val="009552E8"/>
    <w:rsid w:val="00967D45"/>
    <w:rsid w:val="00977899"/>
    <w:rsid w:val="00984E14"/>
    <w:rsid w:val="00985382"/>
    <w:rsid w:val="009945A4"/>
    <w:rsid w:val="00996711"/>
    <w:rsid w:val="009A3962"/>
    <w:rsid w:val="009B4E8E"/>
    <w:rsid w:val="009C04A6"/>
    <w:rsid w:val="009C7559"/>
    <w:rsid w:val="009C7D15"/>
    <w:rsid w:val="009D4EF8"/>
    <w:rsid w:val="009E4628"/>
    <w:rsid w:val="009F623C"/>
    <w:rsid w:val="009F7800"/>
    <w:rsid w:val="00A049F7"/>
    <w:rsid w:val="00A05748"/>
    <w:rsid w:val="00A172A5"/>
    <w:rsid w:val="00A23D1D"/>
    <w:rsid w:val="00A859BE"/>
    <w:rsid w:val="00A975FF"/>
    <w:rsid w:val="00AA2A6E"/>
    <w:rsid w:val="00AE0E36"/>
    <w:rsid w:val="00AE2B66"/>
    <w:rsid w:val="00AF0CB1"/>
    <w:rsid w:val="00B111F4"/>
    <w:rsid w:val="00B235FD"/>
    <w:rsid w:val="00B23D2D"/>
    <w:rsid w:val="00B82A68"/>
    <w:rsid w:val="00B907AE"/>
    <w:rsid w:val="00B971FD"/>
    <w:rsid w:val="00BD491E"/>
    <w:rsid w:val="00C04D5C"/>
    <w:rsid w:val="00C07FFD"/>
    <w:rsid w:val="00C23DB5"/>
    <w:rsid w:val="00C33606"/>
    <w:rsid w:val="00C45470"/>
    <w:rsid w:val="00C63124"/>
    <w:rsid w:val="00C64B2E"/>
    <w:rsid w:val="00C73A4F"/>
    <w:rsid w:val="00C75ED9"/>
    <w:rsid w:val="00C85061"/>
    <w:rsid w:val="00C86499"/>
    <w:rsid w:val="00CA1611"/>
    <w:rsid w:val="00CA4788"/>
    <w:rsid w:val="00CA57F0"/>
    <w:rsid w:val="00CA7C6C"/>
    <w:rsid w:val="00CB22D0"/>
    <w:rsid w:val="00CB7C89"/>
    <w:rsid w:val="00CC39DC"/>
    <w:rsid w:val="00CF4D51"/>
    <w:rsid w:val="00D15312"/>
    <w:rsid w:val="00D40723"/>
    <w:rsid w:val="00D7469C"/>
    <w:rsid w:val="00D77AA6"/>
    <w:rsid w:val="00D92F90"/>
    <w:rsid w:val="00D93ABD"/>
    <w:rsid w:val="00DB453C"/>
    <w:rsid w:val="00DE21A8"/>
    <w:rsid w:val="00E03E65"/>
    <w:rsid w:val="00E30E9C"/>
    <w:rsid w:val="00E35D1F"/>
    <w:rsid w:val="00E36313"/>
    <w:rsid w:val="00E4646C"/>
    <w:rsid w:val="00E56044"/>
    <w:rsid w:val="00E60DD0"/>
    <w:rsid w:val="00EB30B4"/>
    <w:rsid w:val="00EC214E"/>
    <w:rsid w:val="00EE4FA4"/>
    <w:rsid w:val="00EE738A"/>
    <w:rsid w:val="00F04DAC"/>
    <w:rsid w:val="00F311FB"/>
    <w:rsid w:val="00F65409"/>
    <w:rsid w:val="00F72356"/>
    <w:rsid w:val="00F72993"/>
    <w:rsid w:val="00F82397"/>
    <w:rsid w:val="00F869B9"/>
    <w:rsid w:val="00FA293B"/>
    <w:rsid w:val="00FC4E12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922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03922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4C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CFA"/>
  </w:style>
  <w:style w:type="paragraph" w:styleId="BalloonText">
    <w:name w:val="Balloon Text"/>
    <w:basedOn w:val="Normal"/>
    <w:link w:val="BalloonTextChar"/>
    <w:uiPriority w:val="99"/>
    <w:semiHidden/>
    <w:unhideWhenUsed/>
    <w:rsid w:val="00BD49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91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16703"/>
    <w:pPr>
      <w:bidi w:val="0"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16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2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1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mmoury@litani.gov.l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grace ammoury</cp:lastModifiedBy>
  <cp:revision>8</cp:revision>
  <cp:lastPrinted>2025-09-30T09:20:00Z</cp:lastPrinted>
  <dcterms:created xsi:type="dcterms:W3CDTF">2025-10-15T09:56:00Z</dcterms:created>
  <dcterms:modified xsi:type="dcterms:W3CDTF">2025-11-04T20:33:00Z</dcterms:modified>
</cp:coreProperties>
</file>