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888" w14:textId="77777777" w:rsidR="00F468E2" w:rsidRDefault="00F468E2" w:rsidP="000F2A47">
      <w:pPr>
        <w:pStyle w:val="NormalWeb"/>
        <w:bidi/>
        <w:jc w:val="both"/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</w:pPr>
    </w:p>
    <w:p w14:paraId="7D18FC3C" w14:textId="77777777" w:rsidR="000F2A47" w:rsidRPr="000F2A47" w:rsidRDefault="000F2A47" w:rsidP="00F468E2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الملحق أ: متطلبات الأمن العامة للموردين، الشركاء ومقدمي الخدمات من الأطراف الثالثة</w:t>
      </w:r>
    </w:p>
    <w:p w14:paraId="42917A0A" w14:textId="77175B70" w:rsidR="000F2A47" w:rsidRDefault="000F2A47" w:rsidP="000F2A47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يحدد هذا الملحق الحد الأدنى من متطلبات الأمن المتوقعة من جميع الأطراف الثالثة، بما في ذلك الموردين ومقدمي الخدمات والشركاء، المشاركين مع</w:t>
      </w: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 .</w:t>
      </w:r>
      <w:r w:rsidRPr="000F2A47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وت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نطبق هذه المتطلبات على أي طرف له وصول إلى أنظمة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أو بياناتها أو بنيتها التحتية، سواء بشكل مباشر أو من خلال </w:t>
      </w:r>
      <w:r w:rsidRPr="00F468E2">
        <w:rPr>
          <w:rFonts w:ascii="Simplified Arabic" w:hAnsi="Simplified Arabic" w:cs="Simplified Arabic"/>
          <w:sz w:val="28"/>
          <w:szCs w:val="28"/>
          <w:rtl/>
        </w:rPr>
        <w:t>ترتيبات تعاقد من الباطن</w:t>
      </w:r>
      <w:r w:rsidRPr="00F468E2">
        <w:rPr>
          <w:rFonts w:ascii="Simplified Arabic" w:hAnsi="Simplified Arabic" w:cs="Simplified Arabic"/>
          <w:sz w:val="28"/>
          <w:szCs w:val="28"/>
        </w:rPr>
        <w:t>.</w:t>
      </w:r>
    </w:p>
    <w:p w14:paraId="6203AF5E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26B8BE7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 xml:space="preserve">الامتثال </w:t>
      </w:r>
      <w:r w:rsidRPr="00F468E2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والحوكمة</w:t>
      </w:r>
    </w:p>
    <w:p w14:paraId="32E30631" w14:textId="561BDFD5" w:rsidR="000F2A47" w:rsidRPr="000F2A47" w:rsidRDefault="000F2A47" w:rsidP="00BE0BA8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يجب على المورد الالتزام بجميع قوانين </w:t>
      </w:r>
      <w:r w:rsidR="00F733E3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وأنظمة</w:t>
      </w:r>
      <w:r w:rsidR="00F733E3" w:rsidRPr="000F2A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حماية البيانات والأمن السيبراني المعمول بها، والمعايير الصناعية ذات الصلة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(على سبيل المثال 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Theme="majorBidi" w:hAnsiTheme="majorBidi" w:cstheme="majorBidi"/>
          <w:sz w:val="28"/>
          <w:szCs w:val="28"/>
        </w:rPr>
        <w:t>ISO 27001</w:t>
      </w:r>
      <w:r w:rsidRPr="000F2A47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0F2A47">
        <w:rPr>
          <w:rFonts w:asciiTheme="majorBidi" w:hAnsiTheme="majorBidi" w:cstheme="majorBidi"/>
          <w:sz w:val="28"/>
          <w:szCs w:val="28"/>
        </w:rPr>
        <w:t>NIST CSF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، اللوائح المحلية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، بالإضافة إلى إرشادات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Theme="majorBidi" w:hAnsiTheme="majorBidi" w:cstheme="majorBidi"/>
          <w:sz w:val="28"/>
          <w:szCs w:val="28"/>
        </w:rPr>
        <w:t>GSMA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للأمن والخصوصية، عند الاقتضاء وبما يتوافق مع نطاق الخدمات المقدمة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A716782" w14:textId="77777777" w:rsidR="000F2A47" w:rsidRDefault="000F2A47" w:rsidP="00BE0BA8">
      <w:pPr>
        <w:pStyle w:val="NormalWeb"/>
        <w:numPr>
          <w:ilvl w:val="0"/>
          <w:numId w:val="9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يجب على المورد الالتزام بسياسات ومعايير وإجراءات الأمن الخاصة بـ </w:t>
      </w:r>
      <w:r w:rsidRPr="000F2A47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، كما يتم التواصل بها من وقت لآخر، وأي إرشادات إضافية يتم تزويدها خلال مدة الاتفاقية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B9CBAAB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6B22729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إدارة الوصول</w:t>
      </w:r>
    </w:p>
    <w:p w14:paraId="3B951F3F" w14:textId="77777777" w:rsidR="000F2A47" w:rsidRPr="000F2A47" w:rsidRDefault="000F2A47" w:rsidP="00BE0BA8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يتم منح الوصول إلى أنظمة ومنصات وبيئات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على أساس الحاجة إلى المعرفة ووفق مبدأ الأقل امتيازًا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62DC7513" w14:textId="77777777" w:rsidR="000F2A47" w:rsidRPr="000F2A47" w:rsidRDefault="000F2A47" w:rsidP="00BE0BA8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حماية جميع الوصولات عن بُعد باستخدام التحقق متعدد العوامل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(</w:t>
      </w:r>
      <w:r w:rsidRPr="000F2A47">
        <w:rPr>
          <w:rFonts w:asciiTheme="majorBidi" w:hAnsiTheme="majorBidi" w:cstheme="majorBidi"/>
          <w:sz w:val="28"/>
          <w:szCs w:val="28"/>
        </w:rPr>
        <w:t>MFA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)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وحلول الشبكات الخاصة الافتراضية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(</w:t>
      </w:r>
      <w:r w:rsidRPr="00BE0BA8">
        <w:rPr>
          <w:rFonts w:asciiTheme="majorBidi" w:hAnsiTheme="majorBidi" w:cstheme="majorBidi"/>
          <w:sz w:val="28"/>
          <w:szCs w:val="28"/>
        </w:rPr>
        <w:t>VPN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)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المعتمدة من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="00BE0BA8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14:paraId="3E8434CA" w14:textId="77777777" w:rsidR="000F2A47" w:rsidRPr="000F2A47" w:rsidRDefault="000F2A47" w:rsidP="00BE0BA8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تطبيق التحكم في الوصول القائم على الدور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(</w:t>
      </w:r>
      <w:r w:rsidRPr="00BE0BA8">
        <w:rPr>
          <w:rFonts w:asciiTheme="majorBidi" w:hAnsiTheme="majorBidi" w:cstheme="majorBidi"/>
          <w:sz w:val="28"/>
          <w:szCs w:val="28"/>
        </w:rPr>
        <w:t>RBAC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)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والحفاظ على قائمة بالأفراد المصرح لهم مع إجراء مراجعات دورية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0EA0FE2" w14:textId="77777777" w:rsidR="00BE0BA8" w:rsidRDefault="000F2A47" w:rsidP="00F468E2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يحظر تمامًا استخدام بيانات اعتماد مشتركة أو عامة. يجب إدارة دورة حياة بيانات الاعتماد بشكل صحيح، بما في ذلك انتهاء الصلاحية والتدوير وإجراءات الإلغاء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5E703D85" w14:textId="77777777" w:rsidR="00F468E2" w:rsidRPr="00F468E2" w:rsidRDefault="00F468E2" w:rsidP="00F468E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p w14:paraId="12F5113A" w14:textId="77777777" w:rsidR="000F2A47" w:rsidRPr="00F468E2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468E2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أمن الأطراف الثالثة والمتعاقدين من الباطن</w:t>
      </w:r>
    </w:p>
    <w:p w14:paraId="5EA2A5DA" w14:textId="77777777" w:rsidR="000F2A47" w:rsidRPr="00F468E2" w:rsidRDefault="000F2A47" w:rsidP="00BE0BA8">
      <w:pPr>
        <w:pStyle w:val="NormalWeb"/>
        <w:numPr>
          <w:ilvl w:val="0"/>
          <w:numId w:val="11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468E2">
        <w:rPr>
          <w:rFonts w:ascii="Simplified Arabic" w:hAnsi="Simplified Arabic" w:cs="Simplified Arabic"/>
          <w:sz w:val="28"/>
          <w:szCs w:val="28"/>
          <w:rtl/>
        </w:rPr>
        <w:t xml:space="preserve">يجب على المورد الحصول على موافقة </w:t>
      </w:r>
      <w:r w:rsidR="00BE0BA8" w:rsidRPr="00F468E2">
        <w:rPr>
          <w:rFonts w:ascii="Simplified Arabic" w:hAnsi="Simplified Arabic" w:cs="Simplified Arabic" w:hint="cs"/>
          <w:sz w:val="28"/>
          <w:szCs w:val="28"/>
          <w:rtl/>
        </w:rPr>
        <w:t>خطّيّة</w:t>
      </w:r>
      <w:r w:rsidRPr="00F468E2">
        <w:rPr>
          <w:rFonts w:ascii="Simplified Arabic" w:hAnsi="Simplified Arabic" w:cs="Simplified Arabic"/>
          <w:sz w:val="28"/>
          <w:szCs w:val="28"/>
          <w:rtl/>
        </w:rPr>
        <w:t xml:space="preserve"> مسبقة من </w:t>
      </w:r>
      <w:r w:rsidRPr="00F468E2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F468E2">
        <w:rPr>
          <w:rFonts w:ascii="Simplified Arabic" w:hAnsi="Simplified Arabic" w:cs="Simplified Arabic"/>
          <w:sz w:val="28"/>
          <w:szCs w:val="28"/>
        </w:rPr>
        <w:t xml:space="preserve"> </w:t>
      </w:r>
      <w:r w:rsidR="00BE0BA8" w:rsidRPr="00F468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468E2">
        <w:rPr>
          <w:rFonts w:ascii="Simplified Arabic" w:hAnsi="Simplified Arabic" w:cs="Simplified Arabic"/>
          <w:sz w:val="28"/>
          <w:szCs w:val="28"/>
          <w:rtl/>
        </w:rPr>
        <w:t>قبل إشراك أي متعاقد من الباطن لتنفيذ أي جزء من العقد</w:t>
      </w:r>
      <w:r w:rsidRPr="00F468E2">
        <w:rPr>
          <w:rFonts w:ascii="Simplified Arabic" w:hAnsi="Simplified Arabic" w:cs="Simplified Arabic"/>
          <w:sz w:val="28"/>
          <w:szCs w:val="28"/>
        </w:rPr>
        <w:t>.</w:t>
      </w:r>
    </w:p>
    <w:p w14:paraId="20C1767C" w14:textId="77777777" w:rsidR="000F2A47" w:rsidRPr="00F468E2" w:rsidRDefault="000F2A47" w:rsidP="00BE0BA8">
      <w:pPr>
        <w:pStyle w:val="NormalWeb"/>
        <w:numPr>
          <w:ilvl w:val="0"/>
          <w:numId w:val="11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468E2">
        <w:rPr>
          <w:rFonts w:ascii="Simplified Arabic" w:hAnsi="Simplified Arabic" w:cs="Simplified Arabic"/>
          <w:sz w:val="28"/>
          <w:szCs w:val="28"/>
          <w:rtl/>
        </w:rPr>
        <w:t>يجب على المورد التأكد من أن جميع المتعاقدين من الباطن يلتزمون بنفس متطلبات الأمن المنصوص عليها في هذا الملحق</w:t>
      </w:r>
      <w:r w:rsidRPr="00F468E2">
        <w:rPr>
          <w:rFonts w:ascii="Simplified Arabic" w:hAnsi="Simplified Arabic" w:cs="Simplified Arabic"/>
          <w:sz w:val="28"/>
          <w:szCs w:val="28"/>
        </w:rPr>
        <w:t>.</w:t>
      </w:r>
    </w:p>
    <w:p w14:paraId="38EB482B" w14:textId="77777777" w:rsidR="000F2A47" w:rsidRPr="00F468E2" w:rsidRDefault="000F2A47" w:rsidP="00BE0BA8">
      <w:pPr>
        <w:pStyle w:val="NormalWeb"/>
        <w:numPr>
          <w:ilvl w:val="0"/>
          <w:numId w:val="11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468E2">
        <w:rPr>
          <w:rFonts w:ascii="Simplified Arabic" w:hAnsi="Simplified Arabic" w:cs="Simplified Arabic"/>
          <w:sz w:val="28"/>
          <w:szCs w:val="28"/>
          <w:rtl/>
        </w:rPr>
        <w:t>يظل المورد مسؤولًا بالكامل عن أفعال والتزام أي متعاقد من الباطن المشارك في تقديم الخدمات بموجب هذه الاتفاقية</w:t>
      </w:r>
      <w:r w:rsidRPr="00F468E2">
        <w:rPr>
          <w:rFonts w:ascii="Simplified Arabic" w:hAnsi="Simplified Arabic" w:cs="Simplified Arabic"/>
          <w:sz w:val="28"/>
          <w:szCs w:val="28"/>
        </w:rPr>
        <w:t>.</w:t>
      </w:r>
    </w:p>
    <w:p w14:paraId="353C5A49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76072FE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حماية البيانات والتعامل مع المعلومات</w:t>
      </w:r>
    </w:p>
    <w:p w14:paraId="7A285742" w14:textId="77777777" w:rsidR="000F2A47" w:rsidRPr="000F2A47" w:rsidRDefault="000F2A47" w:rsidP="00BE0BA8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ضمان حماية جميع المعلومات الشخصية والسرية والمملوكة وفق القوانين المعمول بها وسياسات</w:t>
      </w:r>
      <w:r w:rsidR="00BE0BA8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للتعامل مع البيانات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8A868C6" w14:textId="77777777" w:rsidR="000F2A47" w:rsidRPr="000F2A47" w:rsidRDefault="000F2A47" w:rsidP="00BE0BA8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تشفير جميع البيانات الحساسة أثناء النقل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باستخدام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Fonts w:asciiTheme="majorBidi" w:hAnsiTheme="majorBidi" w:cstheme="majorBidi"/>
          <w:sz w:val="28"/>
          <w:szCs w:val="28"/>
        </w:rPr>
        <w:t>TLS 1.2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أو أعلى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وأثناء التخزين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باستخدام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Fonts w:asciiTheme="majorBidi" w:hAnsiTheme="majorBidi" w:cstheme="majorBidi"/>
          <w:sz w:val="28"/>
          <w:szCs w:val="28"/>
        </w:rPr>
        <w:t>AES-256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أو ما يعادله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6FC8600C" w14:textId="77777777" w:rsidR="000F2A47" w:rsidRPr="000F2A47" w:rsidRDefault="000F2A47" w:rsidP="00BE0BA8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يجب تخزين البيانات ومعالجتها والاحتفاظ بها فقط ضمن الولايات القضائية المعتمدة. أي نقل بيانات عبر الحدود يجب أن يخضع لموافقة 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خطّيّة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="00BE0BA8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وللضمانات القانونية ذات الصلة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519B0C1" w14:textId="77777777" w:rsidR="000F2A47" w:rsidRDefault="000F2A47" w:rsidP="00BE0BA8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عند إنهاء العقد أو بناءً على طلب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، يجب على المورد إعادة جميع البيانات أو تدميرها بشكل نهائي وتقديم شهادة تثبت تدمير البيانات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59EDAD0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A3D63C2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اكتشاف الحوادث والاستجابة لها</w:t>
      </w:r>
    </w:p>
    <w:p w14:paraId="5028EF9A" w14:textId="77777777" w:rsidR="000F2A47" w:rsidRPr="000F2A47" w:rsidRDefault="000F2A47" w:rsidP="00BE0BA8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يجب على المورد إبلاغ </w:t>
      </w:r>
      <w:r w:rsidR="00BE0BA8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فورًا (خلال 24 ساعة) عن أي حادث أمني فعلي أو مشتبه به، بما في ذلك الوصول غير المصر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ح به أو خرق البيانات أو عدوى البرمجيات الخبيثة أو اختراق بيانات الاعتماد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D7CD6E3" w14:textId="77777777" w:rsidR="000F2A47" w:rsidRPr="000F2A47" w:rsidRDefault="000F2A47" w:rsidP="00BE0BA8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إنشاء عملية استجابة مشتركة للحوادث للتعامل المنسق مع الأحداث الأمنية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94CAA8A" w14:textId="77777777" w:rsidR="00BE0BA8" w:rsidRPr="00BE0BA8" w:rsidRDefault="000F2A47" w:rsidP="00BE0BA8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الاحتفاظ بسجلات التدقيق لجميع أحداث الوصول والأحداث المتعل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قة بالأمن ومشاركتها مع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="00BE0BA8">
        <w:rPr>
          <w:rStyle w:val="Strong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عند الطلب خلال التحقيق في الحوادث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1D375570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lastRenderedPageBreak/>
        <w:t>حقوق التدقيق والتقييمات الأمنية</w:t>
      </w:r>
    </w:p>
    <w:p w14:paraId="6ED57357" w14:textId="77777777" w:rsidR="000F2A47" w:rsidRPr="000F2A47" w:rsidRDefault="000F2A47" w:rsidP="00BE0BA8">
      <w:pPr>
        <w:pStyle w:val="NormalWeb"/>
        <w:numPr>
          <w:ilvl w:val="0"/>
          <w:numId w:val="14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تحتفظ</w:t>
      </w:r>
      <w:r w:rsidR="00BE0BA8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بالحق في إجراء تدقيقات أمنية دورية، أو تقييمات، أو طلب شهادات طرف ثالث مستقلة تتعلق بخدمات المورد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0DB6BFA7" w14:textId="77777777" w:rsidR="000F2A47" w:rsidRPr="000F2A47" w:rsidRDefault="000F2A47" w:rsidP="00BE0BA8">
      <w:pPr>
        <w:pStyle w:val="NormalWeb"/>
        <w:numPr>
          <w:ilvl w:val="0"/>
          <w:numId w:val="14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إكمال استبيانات العناية الواجبة الأمني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ة أو تقييمات المخاطر عند طلب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6E324A3" w14:textId="77777777" w:rsidR="000F2A47" w:rsidRDefault="000F2A47" w:rsidP="00BE0BA8">
      <w:pPr>
        <w:pStyle w:val="NormalWeb"/>
        <w:numPr>
          <w:ilvl w:val="0"/>
          <w:numId w:val="14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معالجة أي ثغرات أمنية مكتشفة وفق جدول زمني مت</w:t>
      </w:r>
      <w:r w:rsidR="00BE0BA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فق عليه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301592E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5C71CFE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التدريب والتوعية</w:t>
      </w:r>
    </w:p>
    <w:p w14:paraId="62B00999" w14:textId="77777777" w:rsidR="000F2A47" w:rsidRPr="000F2A47" w:rsidRDefault="000F2A47" w:rsidP="00BE0BA8">
      <w:pPr>
        <w:pStyle w:val="NormalWeb"/>
        <w:numPr>
          <w:ilvl w:val="0"/>
          <w:numId w:val="1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التأكد من أن جميع الأفراد الذين لديهم وصول إلى بيئات</w:t>
      </w:r>
      <w:r w:rsidR="00BE0BA8">
        <w:rPr>
          <w:rFonts w:ascii="Simplified Arabic" w:hAnsi="Simplified Arabic" w:cs="Simplified Arabic"/>
          <w:sz w:val="28"/>
          <w:szCs w:val="28"/>
        </w:rPr>
        <w:t xml:space="preserve"> </w:t>
      </w:r>
      <w:r w:rsidRPr="00BE0BA8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مدرَّبون تدريبًا كافيًا على الأمن السيبراني وحماية البيانات وسياسات الاستخدام المقبول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166D1DCF" w14:textId="77777777" w:rsidR="000F2A47" w:rsidRDefault="000F2A47" w:rsidP="00BE0BA8">
      <w:pPr>
        <w:pStyle w:val="NormalWeb"/>
        <w:numPr>
          <w:ilvl w:val="0"/>
          <w:numId w:val="1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إجراء تدريب سنوي للتحديث، مع الاحتفاظ بسجلات الإنجاز وإتاحتها عند الطلب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31D3EE6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403004E" w14:textId="77777777" w:rsidR="000F2A47" w:rsidRPr="000F2A47" w:rsidRDefault="000F2A47" w:rsidP="00BE0BA8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إنهاء العقد واستراتيجية الخروج والتعامل مع البيانات</w:t>
      </w:r>
    </w:p>
    <w:p w14:paraId="422F88D4" w14:textId="77777777" w:rsidR="000F2A47" w:rsidRPr="000F2A47" w:rsidRDefault="000F2A47" w:rsidP="00BE0BA8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عند إنهاء العقد أو انتهاء مدته، يجب على المورد</w:t>
      </w:r>
      <w:r w:rsidRPr="000F2A47">
        <w:rPr>
          <w:rFonts w:ascii="Simplified Arabic" w:hAnsi="Simplified Arabic" w:cs="Simplified Arabic"/>
          <w:sz w:val="28"/>
          <w:szCs w:val="28"/>
        </w:rPr>
        <w:t>:</w:t>
      </w:r>
    </w:p>
    <w:p w14:paraId="34A0F459" w14:textId="77777777" w:rsidR="000F2A47" w:rsidRPr="000F2A47" w:rsidRDefault="000F2A47" w:rsidP="00A24D1D">
      <w:pPr>
        <w:pStyle w:val="NormalWeb"/>
        <w:numPr>
          <w:ilvl w:val="1"/>
          <w:numId w:val="1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إلغاء جميع الوصولات إلى أنظمة </w:t>
      </w:r>
      <w:r w:rsidRPr="00A24D1D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="00A24D1D">
        <w:rPr>
          <w:rStyle w:val="Strong"/>
          <w:rFonts w:asciiTheme="majorBidi" w:eastAsiaTheme="majorEastAsia" w:hAnsiTheme="majorBidi" w:cstheme="majorBidi" w:hint="cs"/>
          <w:sz w:val="28"/>
          <w:szCs w:val="28"/>
          <w:rtl/>
          <w:lang w:bidi="ar-LB"/>
        </w:rPr>
        <w:t>.</w:t>
      </w:r>
    </w:p>
    <w:p w14:paraId="1DCAD12D" w14:textId="77777777" w:rsidR="000F2A47" w:rsidRPr="000F2A47" w:rsidRDefault="000F2A47" w:rsidP="00A24D1D">
      <w:pPr>
        <w:pStyle w:val="NormalWeb"/>
        <w:numPr>
          <w:ilvl w:val="1"/>
          <w:numId w:val="1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 xml:space="preserve">إعادة أو تدمير جميع البيانات والأصول التابعة لـ </w:t>
      </w:r>
      <w:r w:rsidR="00A24D1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D1D">
        <w:rPr>
          <w:rStyle w:val="Strong"/>
          <w:rFonts w:asciiTheme="majorBidi" w:eastAsiaTheme="majorEastAsia" w:hAnsiTheme="majorBidi" w:cstheme="majorBidi"/>
          <w:sz w:val="28"/>
          <w:szCs w:val="28"/>
        </w:rPr>
        <w:t>MIC1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بشكل آمن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08C772D5" w14:textId="77777777" w:rsidR="000F2A47" w:rsidRPr="000F2A47" w:rsidRDefault="000F2A47" w:rsidP="00BE0BA8">
      <w:pPr>
        <w:pStyle w:val="NormalWeb"/>
        <w:numPr>
          <w:ilvl w:val="1"/>
          <w:numId w:val="1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دعم أنشطة الانتقال وفق خطة الخروج المت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فق عليها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668D13CB" w14:textId="77777777" w:rsidR="000F2A47" w:rsidRDefault="000F2A47" w:rsidP="00BE0BA8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يجب على المورد تقديم شهادة تثبت حذف البيانات خلال 30 يومًا من إنهاء العقد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D3D3859" w14:textId="77777777" w:rsidR="00BE0BA8" w:rsidRPr="000F2A47" w:rsidRDefault="00BE0BA8" w:rsidP="00BE0BA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0A793DC" w14:textId="77777777" w:rsidR="000F2A47" w:rsidRPr="000F2A47" w:rsidRDefault="000F2A47" w:rsidP="00A24D1D">
      <w:pPr>
        <w:pStyle w:val="NormalWeb"/>
        <w:numPr>
          <w:ilvl w:val="0"/>
          <w:numId w:val="18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Style w:val="Strong"/>
          <w:rFonts w:ascii="Simplified Arabic" w:eastAsiaTheme="majorEastAsia" w:hAnsi="Simplified Arabic" w:cs="Simplified Arabic"/>
          <w:sz w:val="28"/>
          <w:szCs w:val="28"/>
          <w:rtl/>
        </w:rPr>
        <w:t>المسؤولية والتنفيذ</w:t>
      </w:r>
    </w:p>
    <w:p w14:paraId="77E03D7A" w14:textId="77777777" w:rsidR="000F2A47" w:rsidRPr="000F2A47" w:rsidRDefault="000F2A47" w:rsidP="00A24D1D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يتحمل المورد المسؤولي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ة عن أي أضرار أو خسائر أو عقوبات تنظيمية تنتج عن خرق التزامات الأمن الواردة أعلاه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70A37A5D" w14:textId="77777777" w:rsidR="000F2A47" w:rsidRPr="000F2A47" w:rsidRDefault="000F2A47" w:rsidP="00A24D1D">
      <w:pPr>
        <w:pStyle w:val="NormalWeb"/>
        <w:numPr>
          <w:ilvl w:val="0"/>
          <w:numId w:val="17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F2A47">
        <w:rPr>
          <w:rFonts w:ascii="Simplified Arabic" w:hAnsi="Simplified Arabic" w:cs="Simplified Arabic"/>
          <w:sz w:val="28"/>
          <w:szCs w:val="28"/>
          <w:rtl/>
        </w:rPr>
        <w:t>قد يؤد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ي عدم الالتزام المتكر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ر أو الجوهري بمتطلبات الأمن إلى إنهاء العقد أو فرض عقوبات، كما هو محدد في الاتفاقي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ة الرئيسي</w:t>
      </w:r>
      <w:r w:rsidR="00A24D1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F2A47">
        <w:rPr>
          <w:rFonts w:ascii="Simplified Arabic" w:hAnsi="Simplified Arabic" w:cs="Simplified Arabic"/>
          <w:sz w:val="28"/>
          <w:szCs w:val="28"/>
          <w:rtl/>
        </w:rPr>
        <w:t>ة</w:t>
      </w:r>
      <w:r w:rsidRPr="000F2A47">
        <w:rPr>
          <w:rFonts w:ascii="Simplified Arabic" w:hAnsi="Simplified Arabic" w:cs="Simplified Arabic"/>
          <w:sz w:val="28"/>
          <w:szCs w:val="28"/>
        </w:rPr>
        <w:t>.</w:t>
      </w:r>
    </w:p>
    <w:p w14:paraId="4A9A242A" w14:textId="77777777" w:rsidR="000F2A47" w:rsidRPr="000F2A47" w:rsidRDefault="000F2A47" w:rsidP="000F2A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sectPr w:rsidR="000F2A47" w:rsidRPr="000F2A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31EB" w14:textId="77777777" w:rsidR="00FC1923" w:rsidRDefault="00FC1923">
      <w:pPr>
        <w:spacing w:after="0" w:line="240" w:lineRule="auto"/>
      </w:pPr>
      <w:r>
        <w:separator/>
      </w:r>
    </w:p>
  </w:endnote>
  <w:endnote w:type="continuationSeparator" w:id="0">
    <w:p w14:paraId="07F0150A" w14:textId="77777777" w:rsidR="00FC1923" w:rsidRDefault="00F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985D" w14:textId="77777777" w:rsidR="00FC1923" w:rsidRDefault="00FC1923">
      <w:pPr>
        <w:spacing w:after="0" w:line="240" w:lineRule="auto"/>
      </w:pPr>
      <w:r>
        <w:separator/>
      </w:r>
    </w:p>
  </w:footnote>
  <w:footnote w:type="continuationSeparator" w:id="0">
    <w:p w14:paraId="77F7089C" w14:textId="77777777" w:rsidR="00FC1923" w:rsidRDefault="00F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page" w:tblpX="1" w:tblpY="-450"/>
      <w:tblW w:w="112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56"/>
      <w:gridCol w:w="6344"/>
    </w:tblGrid>
    <w:tr w:rsidR="00AA0912" w:rsidRPr="001E4EA8" w14:paraId="6E677DD1" w14:textId="77777777" w:rsidTr="00A90DC2">
      <w:trPr>
        <w:trHeight w:hRule="exact" w:val="1077"/>
      </w:trPr>
      <w:tc>
        <w:tcPr>
          <w:tcW w:w="485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DCAEEB7" w14:textId="77777777" w:rsidR="00957F13" w:rsidRPr="00AA0912" w:rsidRDefault="00957F13" w:rsidP="00957F13">
          <w:pPr>
            <w:spacing w:before="11" w:after="22"/>
            <w:ind w:left="1008"/>
            <w:jc w:val="center"/>
            <w:rPr>
              <w:rFonts w:asciiTheme="majorBidi" w:hAnsiTheme="majorBidi" w:cstheme="majorBidi"/>
              <w:b/>
              <w:bCs/>
              <w:szCs w:val="28"/>
            </w:rPr>
          </w:pPr>
          <w:bookmarkStart w:id="0" w:name="_Hlk30508733"/>
          <w:bookmarkStart w:id="1" w:name="_Hlk30508734"/>
          <w:bookmarkStart w:id="2" w:name="_Hlk34215587"/>
          <w:bookmarkStart w:id="3" w:name="_Hlk34215588"/>
          <w:r w:rsidRPr="00AA0912">
            <w:rPr>
              <w:rFonts w:asciiTheme="majorBidi" w:hAnsiTheme="majorBidi" w:cstheme="majorBidi"/>
              <w:b/>
              <w:bCs/>
              <w:sz w:val="36"/>
              <w:szCs w:val="44"/>
            </w:rPr>
            <w:t>Sandrine For Translation</w:t>
          </w:r>
        </w:p>
      </w:tc>
      <w:tc>
        <w:tcPr>
          <w:tcW w:w="6344" w:type="dxa"/>
          <w:tcBorders>
            <w:top w:val="none" w:sz="0" w:space="0" w:color="000000"/>
            <w:left w:val="none" w:sz="0" w:space="0" w:color="000000"/>
            <w:bottom w:val="single" w:sz="24" w:space="0" w:color="C00000"/>
            <w:right w:val="none" w:sz="0" w:space="0" w:color="000000"/>
          </w:tcBorders>
        </w:tcPr>
        <w:p w14:paraId="0D34A086" w14:textId="77777777"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</w:rPr>
          </w:pP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Sami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Soloh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Street, Nabih Azzi Bldg., Ground Floor </w:t>
          </w: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br/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 xml:space="preserve">Near the Ministry of Justice,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Badaro</w:t>
          </w:r>
          <w:proofErr w:type="spellEnd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, Lebanon</w:t>
          </w:r>
        </w:p>
        <w:p w14:paraId="36FEF771" w14:textId="77777777"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</w:pP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t>E-mail: sandrinefortranslation@hotmail.com</w:t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br/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MOF: 3319666 - Mob: +9613584991 </w:t>
          </w:r>
          <w:r w:rsidRPr="00AA0912">
            <w:rPr>
              <w:rFonts w:asciiTheme="majorBidi" w:hAnsiTheme="majorBidi" w:cstheme="majorBidi"/>
              <w:bCs/>
              <w:spacing w:val="-2"/>
              <w:sz w:val="6"/>
              <w:lang w:val="pt-BR"/>
            </w:rPr>
            <w:t>–</w:t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 Tel: +9611429245</w:t>
          </w:r>
        </w:p>
      </w:tc>
    </w:tr>
  </w:tbl>
  <w:bookmarkEnd w:id="0"/>
  <w:bookmarkEnd w:id="1"/>
  <w:bookmarkEnd w:id="2"/>
  <w:bookmarkEnd w:id="3"/>
  <w:p w14:paraId="1352BDFA" w14:textId="77777777" w:rsidR="00F77D90" w:rsidRPr="00AA0912" w:rsidRDefault="00D8697B" w:rsidP="00D8697B">
    <w:pPr>
      <w:pStyle w:val="Header"/>
      <w:tabs>
        <w:tab w:val="clear" w:pos="4513"/>
        <w:tab w:val="clear" w:pos="9026"/>
        <w:tab w:val="left" w:pos="2604"/>
      </w:tabs>
      <w:rPr>
        <w:lang w:val="pt-BR"/>
      </w:rPr>
    </w:pPr>
    <w:r w:rsidRPr="00AA0912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CF9"/>
    <w:multiLevelType w:val="hybridMultilevel"/>
    <w:tmpl w:val="41EA21A6"/>
    <w:lvl w:ilvl="0" w:tplc="438A8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66D"/>
    <w:multiLevelType w:val="multilevel"/>
    <w:tmpl w:val="F62A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357BF"/>
    <w:multiLevelType w:val="multilevel"/>
    <w:tmpl w:val="0A0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5C85"/>
    <w:multiLevelType w:val="multilevel"/>
    <w:tmpl w:val="321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770F5"/>
    <w:multiLevelType w:val="hybridMultilevel"/>
    <w:tmpl w:val="C8921DAE"/>
    <w:lvl w:ilvl="0" w:tplc="8EE09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251D"/>
    <w:multiLevelType w:val="hybridMultilevel"/>
    <w:tmpl w:val="FE1AF33A"/>
    <w:lvl w:ilvl="0" w:tplc="58F41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355F6"/>
    <w:multiLevelType w:val="multilevel"/>
    <w:tmpl w:val="0100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474B3"/>
    <w:multiLevelType w:val="hybridMultilevel"/>
    <w:tmpl w:val="1B260560"/>
    <w:lvl w:ilvl="0" w:tplc="864C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0538"/>
    <w:multiLevelType w:val="hybridMultilevel"/>
    <w:tmpl w:val="0798C72A"/>
    <w:lvl w:ilvl="0" w:tplc="38986E3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466C"/>
    <w:multiLevelType w:val="multilevel"/>
    <w:tmpl w:val="AFD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6212B"/>
    <w:multiLevelType w:val="hybridMultilevel"/>
    <w:tmpl w:val="10447BA4"/>
    <w:lvl w:ilvl="0" w:tplc="4E4052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E904EE"/>
    <w:multiLevelType w:val="multilevel"/>
    <w:tmpl w:val="B90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072A4"/>
    <w:multiLevelType w:val="multilevel"/>
    <w:tmpl w:val="AB1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B1EA1"/>
    <w:multiLevelType w:val="hybridMultilevel"/>
    <w:tmpl w:val="38D6F586"/>
    <w:lvl w:ilvl="0" w:tplc="DF7AF6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E5667"/>
    <w:multiLevelType w:val="multilevel"/>
    <w:tmpl w:val="0BCA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B59FF"/>
    <w:multiLevelType w:val="hybridMultilevel"/>
    <w:tmpl w:val="251AAAD6"/>
    <w:lvl w:ilvl="0" w:tplc="1DBC1460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0B0D"/>
    <w:multiLevelType w:val="hybridMultilevel"/>
    <w:tmpl w:val="51603BD2"/>
    <w:lvl w:ilvl="0" w:tplc="0B98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20750"/>
    <w:multiLevelType w:val="multilevel"/>
    <w:tmpl w:val="74FA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54004">
    <w:abstractNumId w:val="16"/>
  </w:num>
  <w:num w:numId="2" w16cid:durableId="825899439">
    <w:abstractNumId w:val="5"/>
  </w:num>
  <w:num w:numId="3" w16cid:durableId="1817334443">
    <w:abstractNumId w:val="7"/>
  </w:num>
  <w:num w:numId="4" w16cid:durableId="1488741497">
    <w:abstractNumId w:val="4"/>
  </w:num>
  <w:num w:numId="5" w16cid:durableId="1395817533">
    <w:abstractNumId w:val="0"/>
  </w:num>
  <w:num w:numId="6" w16cid:durableId="1913733298">
    <w:abstractNumId w:val="10"/>
  </w:num>
  <w:num w:numId="7" w16cid:durableId="438834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7456290">
    <w:abstractNumId w:val="8"/>
  </w:num>
  <w:num w:numId="9" w16cid:durableId="162671857">
    <w:abstractNumId w:val="14"/>
  </w:num>
  <w:num w:numId="10" w16cid:durableId="776756131">
    <w:abstractNumId w:val="11"/>
  </w:num>
  <w:num w:numId="11" w16cid:durableId="906837064">
    <w:abstractNumId w:val="2"/>
  </w:num>
  <w:num w:numId="12" w16cid:durableId="1747263760">
    <w:abstractNumId w:val="6"/>
  </w:num>
  <w:num w:numId="13" w16cid:durableId="789905700">
    <w:abstractNumId w:val="12"/>
  </w:num>
  <w:num w:numId="14" w16cid:durableId="711926150">
    <w:abstractNumId w:val="1"/>
  </w:num>
  <w:num w:numId="15" w16cid:durableId="1810973562">
    <w:abstractNumId w:val="9"/>
  </w:num>
  <w:num w:numId="16" w16cid:durableId="2104257965">
    <w:abstractNumId w:val="17"/>
  </w:num>
  <w:num w:numId="17" w16cid:durableId="763184123">
    <w:abstractNumId w:val="3"/>
  </w:num>
  <w:num w:numId="18" w16cid:durableId="1382293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29"/>
    <w:rsid w:val="0006534A"/>
    <w:rsid w:val="0006624B"/>
    <w:rsid w:val="00095E3A"/>
    <w:rsid w:val="000B3987"/>
    <w:rsid w:val="000F2A47"/>
    <w:rsid w:val="00106DDE"/>
    <w:rsid w:val="001834F7"/>
    <w:rsid w:val="001A27D7"/>
    <w:rsid w:val="001E4EA8"/>
    <w:rsid w:val="0021786E"/>
    <w:rsid w:val="002622D8"/>
    <w:rsid w:val="0028213D"/>
    <w:rsid w:val="00284D85"/>
    <w:rsid w:val="002B66E9"/>
    <w:rsid w:val="002F53BE"/>
    <w:rsid w:val="003211F5"/>
    <w:rsid w:val="00340DB7"/>
    <w:rsid w:val="00343BD6"/>
    <w:rsid w:val="00362705"/>
    <w:rsid w:val="003B1E1A"/>
    <w:rsid w:val="003B288A"/>
    <w:rsid w:val="003E0697"/>
    <w:rsid w:val="003E1BB8"/>
    <w:rsid w:val="003E79E2"/>
    <w:rsid w:val="0043608E"/>
    <w:rsid w:val="004811F8"/>
    <w:rsid w:val="004815DD"/>
    <w:rsid w:val="004A107D"/>
    <w:rsid w:val="004E6E12"/>
    <w:rsid w:val="005100C8"/>
    <w:rsid w:val="00534E21"/>
    <w:rsid w:val="005517E6"/>
    <w:rsid w:val="00581F67"/>
    <w:rsid w:val="00586BA6"/>
    <w:rsid w:val="005D7926"/>
    <w:rsid w:val="005E6B75"/>
    <w:rsid w:val="005E7F27"/>
    <w:rsid w:val="005F1B29"/>
    <w:rsid w:val="006171B2"/>
    <w:rsid w:val="00643A58"/>
    <w:rsid w:val="006877F2"/>
    <w:rsid w:val="00695B03"/>
    <w:rsid w:val="006E0F9A"/>
    <w:rsid w:val="006F2DE2"/>
    <w:rsid w:val="0071129C"/>
    <w:rsid w:val="007D6B27"/>
    <w:rsid w:val="00800A13"/>
    <w:rsid w:val="00805C37"/>
    <w:rsid w:val="00896930"/>
    <w:rsid w:val="008A4F71"/>
    <w:rsid w:val="008B1C4C"/>
    <w:rsid w:val="008E6233"/>
    <w:rsid w:val="00957F13"/>
    <w:rsid w:val="009A54F2"/>
    <w:rsid w:val="009E479E"/>
    <w:rsid w:val="00A055AA"/>
    <w:rsid w:val="00A06C62"/>
    <w:rsid w:val="00A156AB"/>
    <w:rsid w:val="00A237EA"/>
    <w:rsid w:val="00A24D1D"/>
    <w:rsid w:val="00A370B7"/>
    <w:rsid w:val="00A822F0"/>
    <w:rsid w:val="00AA0912"/>
    <w:rsid w:val="00AD3F19"/>
    <w:rsid w:val="00AE58B2"/>
    <w:rsid w:val="00B17172"/>
    <w:rsid w:val="00B34E29"/>
    <w:rsid w:val="00B4431C"/>
    <w:rsid w:val="00B4505B"/>
    <w:rsid w:val="00B5729E"/>
    <w:rsid w:val="00B73D5F"/>
    <w:rsid w:val="00BA7971"/>
    <w:rsid w:val="00BC28B2"/>
    <w:rsid w:val="00BD3D0B"/>
    <w:rsid w:val="00BE0BA8"/>
    <w:rsid w:val="00BF5883"/>
    <w:rsid w:val="00C01A4B"/>
    <w:rsid w:val="00C24307"/>
    <w:rsid w:val="00C44340"/>
    <w:rsid w:val="00C6302E"/>
    <w:rsid w:val="00D16EBC"/>
    <w:rsid w:val="00D40F50"/>
    <w:rsid w:val="00D447DA"/>
    <w:rsid w:val="00D74C81"/>
    <w:rsid w:val="00D81FE5"/>
    <w:rsid w:val="00D837D7"/>
    <w:rsid w:val="00D8697B"/>
    <w:rsid w:val="00DA199D"/>
    <w:rsid w:val="00DA3B27"/>
    <w:rsid w:val="00DF21A6"/>
    <w:rsid w:val="00E66B26"/>
    <w:rsid w:val="00EE7B42"/>
    <w:rsid w:val="00F468E2"/>
    <w:rsid w:val="00F62495"/>
    <w:rsid w:val="00F733E3"/>
    <w:rsid w:val="00F77D90"/>
    <w:rsid w:val="00FB5FA7"/>
    <w:rsid w:val="00FC1923"/>
    <w:rsid w:val="00FD1FC3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A3DD"/>
  <w15:chartTrackingRefBased/>
  <w15:docId w15:val="{1E1FC8BD-03FF-4812-8C9A-4D0E16C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95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4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40"/>
    <w:pPr>
      <w:keepNext/>
      <w:keepLines/>
      <w:spacing w:before="40" w:after="0" w:line="25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24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24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624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F62495"/>
    <w:pPr>
      <w:spacing w:after="0" w:line="360" w:lineRule="exact"/>
      <w:jc w:val="lowKashida"/>
    </w:pPr>
    <w:rPr>
      <w:rFonts w:ascii="Times New Roman" w:eastAsia="Times New Roman" w:hAnsi="Times New Roman" w:cs="Arabic Transparent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F62495"/>
    <w:rPr>
      <w:rFonts w:ascii="Times New Roman" w:eastAsia="Times New Roman" w:hAnsi="Times New Roman" w:cs="Arabic Transparent"/>
      <w:sz w:val="28"/>
      <w:szCs w:val="32"/>
    </w:rPr>
  </w:style>
  <w:style w:type="paragraph" w:styleId="ListParagraph">
    <w:name w:val="List Paragraph"/>
    <w:basedOn w:val="Normal"/>
    <w:uiPriority w:val="34"/>
    <w:qFormat/>
    <w:rsid w:val="00F62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77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77F2"/>
    <w:rPr>
      <w:lang w:val="en-GB"/>
    </w:rPr>
  </w:style>
  <w:style w:type="table" w:styleId="TableGrid">
    <w:name w:val="Table Grid"/>
    <w:basedOn w:val="TableNormal"/>
    <w:uiPriority w:val="39"/>
    <w:rsid w:val="006877F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7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43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340"/>
  </w:style>
  <w:style w:type="character" w:customStyle="1" w:styleId="Heading6Char">
    <w:name w:val="Heading 6 Char"/>
    <w:basedOn w:val="DefaultParagraphFont"/>
    <w:link w:val="Heading6"/>
    <w:uiPriority w:val="9"/>
    <w:semiHidden/>
    <w:rsid w:val="00C4434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F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2A47"/>
    <w:rPr>
      <w:b/>
      <w:bCs/>
    </w:rPr>
  </w:style>
  <w:style w:type="paragraph" w:styleId="Revision">
    <w:name w:val="Revision"/>
    <w:hidden/>
    <w:uiPriority w:val="99"/>
    <w:semiHidden/>
    <w:rsid w:val="00F73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DALAL BEDROSSIAN</cp:lastModifiedBy>
  <cp:revision>4</cp:revision>
  <cp:lastPrinted>2025-05-14T07:19:00Z</cp:lastPrinted>
  <dcterms:created xsi:type="dcterms:W3CDTF">2026-03-04T13:39:00Z</dcterms:created>
  <dcterms:modified xsi:type="dcterms:W3CDTF">2026-03-05T06:56:00Z</dcterms:modified>
</cp:coreProperties>
</file>