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F64" w:rsidRDefault="002E4F64">
      <w:pPr>
        <w:spacing w:before="1440"/>
      </w:pPr>
    </w:p>
    <w:p w:rsidR="002E4F64" w:rsidRDefault="00D70A58">
      <w:pPr>
        <w:spacing w:after="200"/>
        <w:jc w:val="center"/>
      </w:pPr>
      <w:r>
        <w:rPr>
          <w:b/>
          <w:bCs/>
          <w:caps/>
          <w:color w:val="1F4E79"/>
          <w:sz w:val="52"/>
          <w:szCs w:val="52"/>
        </w:rPr>
        <w:t>REQUEST FOR PROPOSAL</w:t>
      </w:r>
    </w:p>
    <w:p w:rsidR="002E4F64" w:rsidRDefault="00D70A58">
      <w:pPr>
        <w:spacing w:after="160"/>
        <w:jc w:val="center"/>
      </w:pPr>
      <w:r>
        <w:rPr>
          <w:b/>
          <w:bCs/>
          <w:color w:val="2E75B6"/>
          <w:sz w:val="44"/>
          <w:szCs w:val="44"/>
        </w:rPr>
        <w:t>SS7 Firewall Solution</w:t>
      </w:r>
    </w:p>
    <w:p w:rsidR="002E4F64" w:rsidRDefault="00D70A58">
      <w:pPr>
        <w:spacing w:after="160"/>
        <w:jc w:val="center"/>
      </w:pPr>
      <w:proofErr w:type="spellStart"/>
      <w:r>
        <w:rPr>
          <w:i/>
          <w:iCs/>
          <w:color w:val="444444"/>
          <w:sz w:val="24"/>
          <w:szCs w:val="24"/>
        </w:rPr>
        <w:t>Signalling</w:t>
      </w:r>
      <w:proofErr w:type="spellEnd"/>
      <w:r>
        <w:rPr>
          <w:i/>
          <w:iCs/>
          <w:color w:val="444444"/>
          <w:sz w:val="24"/>
          <w:szCs w:val="24"/>
        </w:rPr>
        <w:t xml:space="preserve"> Security &amp; Protection for SS7, Diameter &amp; 5G SBA Interconnects</w:t>
      </w:r>
    </w:p>
    <w:p w:rsidR="002E4F64" w:rsidRDefault="002E4F64">
      <w:pPr>
        <w:spacing w:before="2880"/>
      </w:pPr>
    </w:p>
    <w:p w:rsidR="002E4F64" w:rsidRDefault="00D70A58">
      <w:r>
        <w:br w:type="page"/>
      </w:r>
    </w:p>
    <w:p w:rsidR="002E4F64" w:rsidRDefault="00D70A58">
      <w:pPr>
        <w:pStyle w:val="Heading1"/>
        <w:pBdr>
          <w:bottom w:val="single" w:sz="6" w:space="6" w:color="2E75B6"/>
        </w:pBdr>
      </w:pPr>
      <w:r>
        <w:lastRenderedPageBreak/>
        <w:t>1. Introduction &amp; Background</w:t>
      </w:r>
    </w:p>
    <w:p w:rsidR="002E4F64" w:rsidRDefault="00D70A58">
      <w:pPr>
        <w:spacing w:before="60" w:after="100"/>
      </w:pPr>
      <w:r>
        <w:rPr>
          <w:color w:val="1A1A1A"/>
        </w:rPr>
        <w:t xml:space="preserve">This Request for Proposal (RFP) is issued by MIC2 to procure a robust, carrier-grade </w:t>
      </w:r>
      <w:proofErr w:type="spellStart"/>
      <w:r>
        <w:rPr>
          <w:color w:val="1A1A1A"/>
        </w:rPr>
        <w:t>signalling</w:t>
      </w:r>
      <w:proofErr w:type="spellEnd"/>
      <w:r>
        <w:rPr>
          <w:color w:val="1A1A1A"/>
        </w:rPr>
        <w:t xml:space="preserve"> Firewall solution. The objective is to secure all legacy and next-generation </w:t>
      </w:r>
      <w:proofErr w:type="spellStart"/>
      <w:r>
        <w:rPr>
          <w:color w:val="1A1A1A"/>
        </w:rPr>
        <w:t>signalling</w:t>
      </w:r>
      <w:proofErr w:type="spellEnd"/>
      <w:r>
        <w:rPr>
          <w:color w:val="1A1A1A"/>
        </w:rPr>
        <w:t xml:space="preserve"> interfaces, including SS7, SIGTRAN, Diameter, and 5G SBA (Service-Based Architecture). MIC2 currently maintains active SS7/SIGTRAN connectivity with external trusted network entities for the purposes of international roaming, Value-Added Services (VAS), and interconnect operations.</w:t>
      </w:r>
    </w:p>
    <w:p w:rsidR="002E4F64" w:rsidRDefault="002E4F64">
      <w:pPr>
        <w:spacing w:before="120"/>
      </w:pPr>
    </w:p>
    <w:p w:rsidR="002E4F64" w:rsidRDefault="00D70A58">
      <w:pPr>
        <w:spacing w:before="60" w:after="100"/>
      </w:pPr>
      <w:r>
        <w:rPr>
          <w:color w:val="1A1A1A"/>
        </w:rPr>
        <w:t>The growing exploitation of SS7 protocol vulnerabilities poses a significant and direct threat to subscriber security and network integrity. MIC2 has identified three primary threat vectors that this procurement aims to address:</w:t>
      </w:r>
    </w:p>
    <w:p w:rsidR="002E4F64" w:rsidRDefault="002E4F64">
      <w:pPr>
        <w:spacing w:before="80"/>
      </w:pP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Spoofed voice calls: Malicious actors exploiting SS7 to originate or manipulate call routing, enabling fraudulent call scenarios, subscriber impersonation, and potential lawful intercept bypass.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 xml:space="preserve">Unsolicited A2P SMS: Direct injection of Application-to-Person (A2P) SMS messages to MIC2's Mobile Switching Centers (MSCs), bypassing commercial SMS </w:t>
      </w:r>
      <w:proofErr w:type="spellStart"/>
      <w:r>
        <w:rPr>
          <w:color w:val="1A1A1A"/>
        </w:rPr>
        <w:t>hubbing</w:t>
      </w:r>
      <w:proofErr w:type="spellEnd"/>
      <w:r>
        <w:rPr>
          <w:color w:val="1A1A1A"/>
        </w:rPr>
        <w:t xml:space="preserve"> arrangements and revenue assurance controls.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Subscriber location attacks: Detection and blocking of location-based interrogation messages (e.g., ATI - Any Time Interrogation) targeting MIC2 customers by unauthorized or malicious external entities.</w:t>
      </w:r>
    </w:p>
    <w:p w:rsidR="002E4F64" w:rsidRDefault="002E4F64">
      <w:pPr>
        <w:spacing w:before="120"/>
      </w:pPr>
    </w:p>
    <w:p w:rsidR="002E4F64" w:rsidRDefault="00D70A58">
      <w:pPr>
        <w:spacing w:before="60" w:after="100"/>
      </w:pPr>
      <w:r>
        <w:rPr>
          <w:color w:val="1A1A1A"/>
        </w:rPr>
        <w:t>The solution must be deployed inline or in a monitoring capacity across all SS7/SIGTRAN interconnect points and must integrate with MIC2's existing network architecture without service disruption.</w:t>
      </w:r>
    </w:p>
    <w:p w:rsidR="002E4F64" w:rsidRDefault="002E4F64">
      <w:pPr>
        <w:spacing w:before="200"/>
      </w:pPr>
    </w:p>
    <w:p w:rsidR="002E4F64" w:rsidRDefault="00D70A58">
      <w:pPr>
        <w:pStyle w:val="Heading1"/>
        <w:pBdr>
          <w:bottom w:val="single" w:sz="6" w:space="6" w:color="2E75B6"/>
        </w:pBdr>
      </w:pPr>
      <w:r>
        <w:t>2. Scope of Work</w:t>
      </w:r>
    </w:p>
    <w:p w:rsidR="002E4F64" w:rsidRDefault="00D70A58">
      <w:pPr>
        <w:pStyle w:val="Heading2"/>
      </w:pPr>
      <w:r>
        <w:t>2.1 In-Scope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Supply, delivery, installation, and commissioning of the Firewall solution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Provide real-time protection from protocol misuse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 xml:space="preserve">Integration with existing SS7 and SIGTRAN interconnect infrastructure (HLR/HSS, SMSC, GMLC, VLR, </w:t>
      </w:r>
      <w:r w:rsidR="003947A0">
        <w:rPr>
          <w:color w:val="1A1A1A"/>
        </w:rPr>
        <w:t xml:space="preserve">MME, MSC/MSS, </w:t>
      </w:r>
      <w:proofErr w:type="spellStart"/>
      <w:r w:rsidR="003947A0">
        <w:rPr>
          <w:color w:val="1A1A1A"/>
        </w:rPr>
        <w:t>IMS,.</w:t>
      </w:r>
      <w:r>
        <w:rPr>
          <w:color w:val="1A1A1A"/>
        </w:rPr>
        <w:t>and</w:t>
      </w:r>
      <w:proofErr w:type="spellEnd"/>
      <w:r>
        <w:rPr>
          <w:color w:val="1A1A1A"/>
        </w:rPr>
        <w:t xml:space="preserve"> other network entities)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 xml:space="preserve">Protection of all inbound and outbound </w:t>
      </w:r>
      <w:proofErr w:type="spellStart"/>
      <w:r>
        <w:rPr>
          <w:color w:val="1A1A1A"/>
        </w:rPr>
        <w:t>signalling</w:t>
      </w:r>
      <w:proofErr w:type="spellEnd"/>
      <w:r>
        <w:rPr>
          <w:color w:val="1A1A1A"/>
        </w:rPr>
        <w:t xml:space="preserve"> traffic from roaming partners and VAS providers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Enforcement of GSMA FS.11 guidelines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Prevention of spoofed mobility, SMS, and call routing requests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Blocking and filtering of spoofed call-related SS7 messages (MAP, ISUP, CAP)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Detection and blocking of direct A2P SMS injection targeting MSCs via SS7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Real-time monitoring, alerting, and reporting capabilities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Advanced technical training for MIC2 security and operations teams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Ongoing maintenance, support, and software updates for 3 years starting after Final Acceptance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Advanced protocol validation, anomaly detection, threat intelligence integration, and behavioral security analytics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 xml:space="preserve">Solution must support 5G SBA (Service-Based Architecture) </w:t>
      </w:r>
      <w:proofErr w:type="spellStart"/>
      <w:r>
        <w:rPr>
          <w:color w:val="1A1A1A"/>
        </w:rPr>
        <w:t>signalling</w:t>
      </w:r>
      <w:proofErr w:type="spellEnd"/>
      <w:r>
        <w:rPr>
          <w:color w:val="1A1A1A"/>
        </w:rPr>
        <w:t xml:space="preserve"> protection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>Support for M3UA, M2PA, SCCP, TCAP, ISUP, CAP, and MAP interfaces</w:t>
      </w:r>
    </w:p>
    <w:p w:rsidR="002E4F64" w:rsidRDefault="00D70A58">
      <w:pPr>
        <w:pStyle w:val="ListParagraph"/>
        <w:numPr>
          <w:ilvl w:val="0"/>
          <w:numId w:val="2"/>
        </w:numPr>
        <w:spacing w:before="40" w:after="60"/>
      </w:pPr>
      <w:r>
        <w:rPr>
          <w:color w:val="1A1A1A"/>
        </w:rPr>
        <w:t xml:space="preserve">Diameter / 4G LTE </w:t>
      </w:r>
      <w:proofErr w:type="spellStart"/>
      <w:r>
        <w:rPr>
          <w:color w:val="1A1A1A"/>
        </w:rPr>
        <w:t>signalling</w:t>
      </w:r>
      <w:proofErr w:type="spellEnd"/>
      <w:r>
        <w:rPr>
          <w:color w:val="1A1A1A"/>
        </w:rPr>
        <w:t xml:space="preserve"> firewall protection</w:t>
      </w:r>
    </w:p>
    <w:p w:rsidR="002E4F64" w:rsidRDefault="002E4F64">
      <w:pPr>
        <w:spacing w:before="80"/>
      </w:pPr>
    </w:p>
    <w:p w:rsidR="002E4F64" w:rsidRDefault="002E4F64">
      <w:pPr>
        <w:spacing w:before="200"/>
      </w:pPr>
    </w:p>
    <w:p w:rsidR="002E4F64" w:rsidRDefault="00D70A58">
      <w:pPr>
        <w:pStyle w:val="Heading1"/>
        <w:pBdr>
          <w:bottom w:val="single" w:sz="6" w:space="6" w:color="2E75B6"/>
        </w:pBdr>
      </w:pPr>
      <w:r>
        <w:t>3. Technical Requirements</w:t>
      </w:r>
    </w:p>
    <w:p w:rsidR="002E4F64" w:rsidRDefault="00D70A58">
      <w:pPr>
        <w:spacing w:before="60" w:after="100"/>
      </w:pPr>
      <w:r>
        <w:rPr>
          <w:color w:val="1A1A1A"/>
        </w:rPr>
        <w:t>The following tables define the technical requirements for the SS7 Firewall solution. Vendors must clearly indicate compliance against each requirement.</w:t>
      </w:r>
    </w:p>
    <w:p w:rsidR="002E4F64" w:rsidRDefault="002E4F64">
      <w:pPr>
        <w:spacing w:before="80"/>
      </w:pPr>
    </w:p>
    <w:p w:rsidR="002E4F64" w:rsidRDefault="002E4F64">
      <w:pPr>
        <w:spacing w:before="200"/>
      </w:pPr>
    </w:p>
    <w:p w:rsidR="002E4F64" w:rsidRDefault="00D70A58">
      <w:pPr>
        <w:pStyle w:val="Heading2"/>
      </w:pPr>
      <w:r>
        <w:t>3.1 General Architecture &amp; Deployment</w:t>
      </w:r>
    </w:p>
    <w:p w:rsidR="002E4F64" w:rsidRDefault="002E4F64">
      <w:pPr>
        <w:spacing w:before="80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4601F0" w:rsidTr="004601F0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01F0" w:rsidRDefault="004601F0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operate in inline (active) mode to actively block non-compliant or malicious SS7 messages in real-time.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a passive (monitoring-only) mode for initial traffic baselining and parallel run prior to full enforcement.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deployment on physical appliances, virtualized (VM-based), or cloud-native (containerized) infrastructure.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high availability (HA) active-active or active-standby configuration with automatic failover.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have no single point of failure in its architecture.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process and enforce policy on all SS7 traffic without introducing more than 5ms additional latency per message under full load.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vendor shall provide sizing documentation including throughput capacity (MSU/sec) and scalability roadmap.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integration with existing SS7/SIGTRAN network elements via standard M3UA, M2PA, or TDM interfaces.</w:t>
            </w:r>
          </w:p>
        </w:tc>
      </w:tr>
    </w:tbl>
    <w:p w:rsidR="002E4F64" w:rsidRDefault="002E4F64">
      <w:pPr>
        <w:spacing w:before="200"/>
      </w:pPr>
    </w:p>
    <w:p w:rsidR="002E4F64" w:rsidRDefault="00D70A58">
      <w:pPr>
        <w:pStyle w:val="Heading2"/>
      </w:pPr>
      <w:r>
        <w:t>3.2 Anti-Spoofing &amp; Call Fraud Protection</w:t>
      </w:r>
    </w:p>
    <w:p w:rsidR="002E4F64" w:rsidRDefault="002E4F64">
      <w:pPr>
        <w:spacing w:before="80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4601F0" w:rsidTr="004601F0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01F0" w:rsidRDefault="004601F0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 xml:space="preserve">The solution shall detect and block SS7 MAP messages used for subscriber location tracking (e.g., </w:t>
            </w:r>
            <w:proofErr w:type="spellStart"/>
            <w:r>
              <w:rPr>
                <w:color w:val="1A1A1A"/>
                <w:sz w:val="18"/>
                <w:szCs w:val="18"/>
              </w:rPr>
              <w:t>SendRoutingInfoForSM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1A1A1A"/>
                <w:sz w:val="18"/>
                <w:szCs w:val="18"/>
              </w:rPr>
              <w:t>ProvideSubscriberInfo</w:t>
            </w:r>
            <w:proofErr w:type="spellEnd"/>
            <w:r>
              <w:rPr>
                <w:color w:val="1A1A1A"/>
                <w:sz w:val="18"/>
                <w:szCs w:val="18"/>
              </w:rPr>
              <w:t>, ATI - Any Time Interrogation) originating from unauthorized or spoofed sources.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validate the Global Title (GT) of originating nodes against a whitelist of trusted network entities and block messages from unauthorized GTs.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 xml:space="preserve">The solution shall detect and block manipulation of call routing via MAP </w:t>
            </w:r>
            <w:proofErr w:type="spellStart"/>
            <w:r>
              <w:rPr>
                <w:color w:val="1A1A1A"/>
                <w:sz w:val="18"/>
                <w:szCs w:val="18"/>
              </w:rPr>
              <w:t>UpdateLocation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or </w:t>
            </w:r>
            <w:proofErr w:type="spellStart"/>
            <w:r>
              <w:rPr>
                <w:color w:val="1A1A1A"/>
                <w:sz w:val="18"/>
                <w:szCs w:val="18"/>
              </w:rPr>
              <w:t>InsertSubscriberData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from foreign HLRs not matching the subscriber's home PLMN.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ISUP/CAP message inspection to detect anomalous call setup patterns indicative of IRSF (International Revenue Share Fraud) or call hijacking.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lastRenderedPageBreak/>
              <w:t>The solution shall correlate MAP and ISUP messages to detect and block spoofed call origination attacks where calling party address is manipulated.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 xml:space="preserve">The solution shall support detection of SS7-based SIM swap attacks (unauthorized MAP </w:t>
            </w:r>
            <w:proofErr w:type="spellStart"/>
            <w:r>
              <w:rPr>
                <w:color w:val="1A1A1A"/>
                <w:sz w:val="18"/>
                <w:szCs w:val="18"/>
              </w:rPr>
              <w:t>UpdateLocation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followed by HLR manipulation).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implement Category 1, 2, and 3 filtering as defined by the GSMA FS.11 (SS7 and SIGTRAN Network Security) guidelines.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provide configurable whitelisting and blacklisting of SCCP Global Titles, Point Codes, and Application Context names.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detect and block GT spoofing and Point Code (PC) spoofing attempts from interconnect peers.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detect and block IMSI detach spoofing attacks used to make subscribers appear unreachable.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enforce complete topology hiding for MIC2's core network, preventing disclosure of internal network element addresses and identities to external peers.</w:t>
            </w:r>
          </w:p>
        </w:tc>
      </w:tr>
    </w:tbl>
    <w:p w:rsidR="002E4F64" w:rsidRDefault="002E4F64">
      <w:pPr>
        <w:spacing w:before="200"/>
      </w:pPr>
    </w:p>
    <w:p w:rsidR="002E4F64" w:rsidRDefault="00D70A58">
      <w:pPr>
        <w:pStyle w:val="Heading2"/>
      </w:pPr>
      <w:r>
        <w:t>3.3 A2P SMS Injection Blocking</w:t>
      </w:r>
    </w:p>
    <w:p w:rsidR="002E4F64" w:rsidRDefault="002E4F64">
      <w:pPr>
        <w:spacing w:before="80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4601F0" w:rsidTr="004601F0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01F0" w:rsidRDefault="004601F0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 xml:space="preserve">The solution shall detect and block direct A2P SMS messages injected via SS7 MAP </w:t>
            </w:r>
            <w:proofErr w:type="spellStart"/>
            <w:r>
              <w:rPr>
                <w:color w:val="1A1A1A"/>
                <w:sz w:val="18"/>
                <w:szCs w:val="18"/>
              </w:rPr>
              <w:t>ForwardSM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or MT-</w:t>
            </w:r>
            <w:proofErr w:type="spellStart"/>
            <w:r>
              <w:rPr>
                <w:color w:val="1A1A1A"/>
                <w:sz w:val="18"/>
                <w:szCs w:val="18"/>
              </w:rPr>
              <w:t>ForwardSM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operations targeting the operator's MSCs, bypassing the authorized SMS </w:t>
            </w:r>
            <w:proofErr w:type="spellStart"/>
            <w:r>
              <w:rPr>
                <w:color w:val="1A1A1A"/>
                <w:sz w:val="18"/>
                <w:szCs w:val="18"/>
              </w:rPr>
              <w:t>hubbing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path.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enforce that all inbound MO/MT SMS traffic originates from authorized SMSC addresses defined in the operator's interconnect agreements.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detection of SMS home routing bypass attempts where messages are sent directly to the serving MSC rather than transiting the operator's SMSC.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SMS Firewall policy enforcement based on Originating Address (OA), Destination MSISDN range, SMSC GT, and message content pattern (regex).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detect and block bulk SMS flooding attacks based on rate-limiting thresholds configurable per source GT and per MSISDN.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integration with an SMS Home Routing (SHR) platform, or include built-in SHR functionality to prevent SRI-SM exposure.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generate detailed logs for all blocked and permitted SMS events, including originating GT, destination MSISDN, SMSC address, and timestamp.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subscriber-level SMS blocking policies (e.g., block A2P to specific MSISDN ranges).</w:t>
            </w:r>
          </w:p>
        </w:tc>
      </w:tr>
    </w:tbl>
    <w:p w:rsidR="002E4F64" w:rsidRDefault="002E4F64">
      <w:pPr>
        <w:spacing w:before="200"/>
      </w:pPr>
    </w:p>
    <w:p w:rsidR="004601F0" w:rsidRDefault="004601F0">
      <w:pPr>
        <w:spacing w:before="200"/>
      </w:pPr>
    </w:p>
    <w:p w:rsidR="004601F0" w:rsidRDefault="004601F0">
      <w:pPr>
        <w:spacing w:before="200"/>
      </w:pPr>
    </w:p>
    <w:p w:rsidR="004601F0" w:rsidRDefault="004601F0">
      <w:pPr>
        <w:spacing w:before="200"/>
      </w:pPr>
    </w:p>
    <w:p w:rsidR="004601F0" w:rsidRDefault="004601F0">
      <w:pPr>
        <w:spacing w:before="200"/>
      </w:pPr>
    </w:p>
    <w:p w:rsidR="004601F0" w:rsidRDefault="004601F0">
      <w:pPr>
        <w:spacing w:before="200"/>
      </w:pPr>
    </w:p>
    <w:p w:rsidR="002E4F64" w:rsidRDefault="00D70A58">
      <w:pPr>
        <w:pStyle w:val="Heading2"/>
      </w:pPr>
      <w:r>
        <w:lastRenderedPageBreak/>
        <w:t>3.4 Threat Intelligence &amp; Detection Engine</w:t>
      </w:r>
    </w:p>
    <w:p w:rsidR="002E4F64" w:rsidRDefault="002E4F64">
      <w:pPr>
        <w:spacing w:before="80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4601F0" w:rsidTr="004601F0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01F0" w:rsidRDefault="004601F0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include a built-in threat intelligence feed with regular updates covering known malicious GTs, Point Codes, and attack signatures.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import of external threat intelligence in standard formats (e.g., STIX/TAXII, CSV).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 xml:space="preserve">The solution shall provide machine learning or </w:t>
            </w:r>
            <w:proofErr w:type="spellStart"/>
            <w:r>
              <w:rPr>
                <w:color w:val="1A1A1A"/>
                <w:sz w:val="18"/>
                <w:szCs w:val="18"/>
              </w:rPr>
              <w:t>behavioural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analytics capabilities to detect novel or zero-day SS7 attack patterns.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anomaly detection based on baseline traffic profiling per interconnect peer.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provide a dedicated dashboard for real-time attack visualization and trend analysis.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sharing of threat indicators with peer operators or regulatory bodies via configurable export mechanisms.</w:t>
            </w:r>
          </w:p>
        </w:tc>
      </w:tr>
    </w:tbl>
    <w:p w:rsidR="002E4F64" w:rsidRDefault="002E4F64">
      <w:pPr>
        <w:spacing w:before="200"/>
      </w:pPr>
    </w:p>
    <w:p w:rsidR="002E4F64" w:rsidRDefault="00D70A58">
      <w:pPr>
        <w:pStyle w:val="Heading2"/>
      </w:pPr>
      <w:r>
        <w:t xml:space="preserve">3.5 </w:t>
      </w:r>
      <w:proofErr w:type="spellStart"/>
      <w:r>
        <w:t>Signalling</w:t>
      </w:r>
      <w:proofErr w:type="spellEnd"/>
      <w:r>
        <w:t xml:space="preserve"> Protocol Support</w:t>
      </w:r>
    </w:p>
    <w:p w:rsidR="002E4F64" w:rsidRDefault="002E4F64">
      <w:pPr>
        <w:spacing w:before="80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4601F0" w:rsidTr="004601F0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01F0" w:rsidRDefault="004601F0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inspection and filtering of SS7 MAP (Mobile Application Part) messages across all relevant operations (MO-</w:t>
            </w:r>
            <w:proofErr w:type="spellStart"/>
            <w:r>
              <w:rPr>
                <w:color w:val="1A1A1A"/>
                <w:sz w:val="18"/>
                <w:szCs w:val="18"/>
              </w:rPr>
              <w:t>ForwardSM</w:t>
            </w:r>
            <w:proofErr w:type="spellEnd"/>
            <w:r>
              <w:rPr>
                <w:color w:val="1A1A1A"/>
                <w:sz w:val="18"/>
                <w:szCs w:val="18"/>
              </w:rPr>
              <w:t>, MT-</w:t>
            </w:r>
            <w:proofErr w:type="spellStart"/>
            <w:r>
              <w:rPr>
                <w:color w:val="1A1A1A"/>
                <w:sz w:val="18"/>
                <w:szCs w:val="18"/>
              </w:rPr>
              <w:t>ForwardSM</w:t>
            </w:r>
            <w:proofErr w:type="spellEnd"/>
            <w:r>
              <w:rPr>
                <w:color w:val="1A1A1A"/>
                <w:sz w:val="18"/>
                <w:szCs w:val="18"/>
              </w:rPr>
              <w:t>, SRI, PSI, UL, ISD, etc.).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 xml:space="preserve">The solution shall support SIGTRAN transport protocols: M3UA, M2PA, SCCP, </w:t>
            </w:r>
            <w:proofErr w:type="gramStart"/>
            <w:r>
              <w:rPr>
                <w:color w:val="1A1A1A"/>
                <w:sz w:val="18"/>
                <w:szCs w:val="18"/>
              </w:rPr>
              <w:t>TCAP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over IP.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TDM-based SS7 interconnects (E1/T1) where applicable.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SCCP Class 0 and Class 1 message handling and GT translation inspection.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CAMEL (CAP) protocol inspection for VAS and call control use cases.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ISUP message inspection for call-related fraud detection.</w:t>
            </w:r>
          </w:p>
        </w:tc>
      </w:tr>
      <w:tr w:rsidR="003947A0" w:rsidTr="003947A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947A0" w:rsidRPr="003947A0" w:rsidRDefault="003947A0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The solution shall support inspection and filtering on the S6a/S6d interface (MME/SGSN to HSS) to protect against unauthorized location updates, authentication requests, and subscriber data queries.</w:t>
            </w:r>
          </w:p>
        </w:tc>
      </w:tr>
      <w:tr w:rsidR="003947A0" w:rsidTr="003947A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947A0" w:rsidRPr="003947A0" w:rsidRDefault="003947A0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The solution shall support the S13 interface (MME to EIR) for IMEI-based equipment identity validation and blocking of unauthorized device checks.</w:t>
            </w:r>
          </w:p>
        </w:tc>
      </w:tr>
      <w:tr w:rsidR="003947A0" w:rsidTr="003947A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947A0" w:rsidRPr="003947A0" w:rsidRDefault="003947A0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The solution shall support the S8 interface (SGW to PGW) for inter-PLMN roaming session protection.</w:t>
            </w:r>
          </w:p>
        </w:tc>
      </w:tr>
      <w:tr w:rsidR="003947A0" w:rsidTr="003947A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947A0" w:rsidRPr="003947A0" w:rsidRDefault="003947A0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The solution shall support the </w:t>
            </w:r>
            <w:proofErr w:type="spellStart"/>
            <w:r>
              <w:rPr>
                <w:color w:val="1A1A1A"/>
                <w:sz w:val="18"/>
                <w:szCs w:val="18"/>
              </w:rPr>
              <w:t>Sh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interface (AS to HSS) to prevent unauthorized user profile data access from IMS application servers.</w:t>
            </w:r>
          </w:p>
        </w:tc>
      </w:tr>
      <w:tr w:rsidR="003947A0" w:rsidTr="003947A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947A0" w:rsidRPr="003947A0" w:rsidRDefault="003947A0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The solution shall support the </w:t>
            </w:r>
            <w:proofErr w:type="spellStart"/>
            <w:r>
              <w:rPr>
                <w:color w:val="1A1A1A"/>
                <w:sz w:val="18"/>
                <w:szCs w:val="18"/>
              </w:rPr>
              <w:t>Cx</w:t>
            </w:r>
            <w:proofErr w:type="spellEnd"/>
            <w:r>
              <w:rPr>
                <w:color w:val="1A1A1A"/>
                <w:sz w:val="18"/>
                <w:szCs w:val="18"/>
              </w:rPr>
              <w:t>/</w:t>
            </w:r>
            <w:proofErr w:type="spellStart"/>
            <w:r>
              <w:rPr>
                <w:color w:val="1A1A1A"/>
                <w:sz w:val="18"/>
                <w:szCs w:val="18"/>
              </w:rPr>
              <w:t>Dx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interface (CSCF to HSS) to protect IMS registration and authentication flows.</w:t>
            </w:r>
          </w:p>
        </w:tc>
      </w:tr>
      <w:tr w:rsidR="003947A0" w:rsidTr="003947A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947A0" w:rsidRPr="003947A0" w:rsidRDefault="003947A0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The solution shall support the </w:t>
            </w:r>
            <w:proofErr w:type="spellStart"/>
            <w:r>
              <w:rPr>
                <w:color w:val="1A1A1A"/>
                <w:sz w:val="18"/>
                <w:szCs w:val="18"/>
              </w:rPr>
              <w:t>SWx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interface (3GPP AAA Server to HSS) for Wi-Fi roaming and authentication protection.</w:t>
            </w:r>
          </w:p>
        </w:tc>
      </w:tr>
      <w:tr w:rsidR="003947A0" w:rsidTr="003947A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947A0" w:rsidRPr="003947A0" w:rsidRDefault="003947A0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The solution shall support the Rx interface (P-CSCF to PCRF) to protect IMS media policy authorization flows.</w:t>
            </w:r>
          </w:p>
        </w:tc>
      </w:tr>
      <w:tr w:rsidR="003947A0" w:rsidTr="003947A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947A0" w:rsidRPr="003947A0" w:rsidRDefault="003947A0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The solution shall support the </w:t>
            </w:r>
            <w:proofErr w:type="spellStart"/>
            <w:r>
              <w:rPr>
                <w:color w:val="1A1A1A"/>
                <w:sz w:val="18"/>
                <w:szCs w:val="18"/>
              </w:rPr>
              <w:t>SLh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interface (GMLC to HSS) to protect location service routing information requests.</w:t>
            </w:r>
          </w:p>
        </w:tc>
      </w:tr>
    </w:tbl>
    <w:p w:rsidR="002E4F64" w:rsidRDefault="002E4F64">
      <w:pPr>
        <w:spacing w:before="200"/>
      </w:pPr>
    </w:p>
    <w:p w:rsidR="002E4F64" w:rsidRDefault="00D70A58">
      <w:pPr>
        <w:pStyle w:val="Heading2"/>
      </w:pPr>
      <w:r>
        <w:lastRenderedPageBreak/>
        <w:t>3.6 Management, Reporting &amp; Integration</w:t>
      </w:r>
    </w:p>
    <w:p w:rsidR="002E4F64" w:rsidRDefault="002E4F64">
      <w:pPr>
        <w:spacing w:before="80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4601F0" w:rsidTr="004601F0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01F0" w:rsidRDefault="004601F0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include a centralized management console (GUI) with role-based access control (RBAC).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provide real-time alerting via email, SNMP trap, and Syslog.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integration with SIEM systems via Syslog (CEF/LEEF format) or REST API.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provide pre-built and customizable dashboards and reports including attack summaries, top attacking GTs, blocked message statistics, and compliance reports.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maintain full audit logs of all configuration changes with user attribution and timestamps.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export of logs and reports in PDF, CSV, and JSON formats.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provide a northbound REST API for programmatic policy management and telemetry extraction.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provide predefined reports covering attack location, attacked subscriber numbers, destination analysis, MAP code violations, and SMS injection attempts.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provide detailed roaming partner statistics including per-partner traffic volumes, blocked message counts, and threat scores.</w:t>
            </w:r>
          </w:p>
        </w:tc>
      </w:tr>
    </w:tbl>
    <w:p w:rsidR="002E4F64" w:rsidRDefault="002E4F64">
      <w:pPr>
        <w:spacing w:before="200"/>
      </w:pPr>
    </w:p>
    <w:p w:rsidR="002E4F64" w:rsidRDefault="00D70A58">
      <w:pPr>
        <w:pStyle w:val="Heading2"/>
      </w:pPr>
      <w:r>
        <w:t>3.7 Compliance &amp; Standards</w:t>
      </w:r>
    </w:p>
    <w:p w:rsidR="002E4F64" w:rsidRDefault="002E4F64">
      <w:pPr>
        <w:spacing w:before="80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4601F0" w:rsidTr="004601F0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01F0" w:rsidRDefault="004601F0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comply with GSMA FS.11 (SS7 and SIGTRAN Network Security) requirements at a minimum for Categories 1, 2, and 3.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GSMA FS.07 (SMS Security) guidelines for A2P SMS protection.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vendor shall provide evidence of compliance with relevant 3GPP specifications (TS 29.002, TS 29.007, etc.).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operator-defined custom rules and policy frameworks in addition to standard GSMA categories.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comply with applicable data protection regulations regarding subscriber data handling within the operator's jurisdiction.</w:t>
            </w:r>
          </w:p>
        </w:tc>
      </w:tr>
    </w:tbl>
    <w:p w:rsidR="002E4F64" w:rsidRDefault="002E4F64">
      <w:pPr>
        <w:spacing w:before="200"/>
      </w:pPr>
    </w:p>
    <w:p w:rsidR="002E4F64" w:rsidRDefault="00D70A58">
      <w:pPr>
        <w:pStyle w:val="Heading2"/>
      </w:pPr>
      <w:r>
        <w:t xml:space="preserve">3.8 5G SBA </w:t>
      </w:r>
      <w:proofErr w:type="spellStart"/>
      <w:r>
        <w:t>Signalling</w:t>
      </w:r>
      <w:proofErr w:type="spellEnd"/>
      <w:r>
        <w:t xml:space="preserve"> Protection</w:t>
      </w:r>
    </w:p>
    <w:p w:rsidR="002E4F64" w:rsidRDefault="002E4F64">
      <w:pPr>
        <w:spacing w:before="80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4601F0" w:rsidTr="004601F0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01F0" w:rsidRDefault="004601F0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 xml:space="preserve">The solution shall support protection of 5G Service-Based Architecture (SBA) </w:t>
            </w:r>
            <w:proofErr w:type="spellStart"/>
            <w:r>
              <w:rPr>
                <w:color w:val="1A1A1A"/>
                <w:sz w:val="18"/>
                <w:szCs w:val="18"/>
              </w:rPr>
              <w:t>signalling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interfaces, including HTTP/2-based NF-to-NF communications.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detect and block unauthorized access attempts targeting 5G Network Functions (NFs) via the SBA, including spoofed NF registrations.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inspection and filtering of 5G SBI (Service-Based Interface) messages for anomalous or malicious patterns.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lastRenderedPageBreak/>
              <w:t xml:space="preserve">The solution shall support protection of the N32 roaming interface (SEPP - Security Edge Protection Proxy) to secure inter-PLMN </w:t>
            </w:r>
            <w:proofErr w:type="spellStart"/>
            <w:r>
              <w:rPr>
                <w:color w:val="1A1A1A"/>
                <w:sz w:val="18"/>
                <w:szCs w:val="18"/>
              </w:rPr>
              <w:t>signalling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in 5G.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GSMA FS.40 (5G Security) guidelines for SBA and roaming interface protection.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provide a unified management interface covering SS7, Diameter, and 5G SBA firewall policies.</w:t>
            </w:r>
          </w:p>
        </w:tc>
      </w:tr>
    </w:tbl>
    <w:p w:rsidR="002E4F64" w:rsidRDefault="002E4F64">
      <w:pPr>
        <w:spacing w:before="200"/>
      </w:pPr>
    </w:p>
    <w:p w:rsidR="004601F0" w:rsidRDefault="004601F0">
      <w:pPr>
        <w:spacing w:before="200"/>
      </w:pPr>
    </w:p>
    <w:p w:rsidR="004601F0" w:rsidRDefault="004601F0">
      <w:pPr>
        <w:spacing w:before="200"/>
      </w:pPr>
    </w:p>
    <w:p w:rsidR="004601F0" w:rsidRDefault="004601F0">
      <w:pPr>
        <w:spacing w:before="200"/>
      </w:pPr>
    </w:p>
    <w:p w:rsidR="002E4F64" w:rsidRDefault="00D70A58" w:rsidP="004601F0">
      <w:pPr>
        <w:pStyle w:val="Heading1"/>
        <w:pBdr>
          <w:bottom w:val="single" w:sz="6" w:space="6" w:color="2E75B6"/>
        </w:pBdr>
      </w:pPr>
      <w:r>
        <w:t xml:space="preserve">4. </w:t>
      </w:r>
      <w:r w:rsidR="004601F0">
        <w:t>Administration</w:t>
      </w:r>
    </w:p>
    <w:p w:rsidR="002E4F64" w:rsidRDefault="002E4F64">
      <w:pPr>
        <w:spacing w:before="80"/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4601F0" w:rsidTr="004601F0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601F0" w:rsidRDefault="004601F0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achieve a system availability of 99.999% (five nines) for the active filtering plane.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 w:rsidP="004601F0">
            <w:r>
              <w:rPr>
                <w:color w:val="1A1A1A"/>
                <w:sz w:val="18"/>
                <w:szCs w:val="18"/>
              </w:rPr>
              <w:t>The solution shall not cause any performance degradation. Vendor to provide benchmarking results.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solution shall support in-service software upgrades with zero traffic loss.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vendor shall provide a dedicated implementation project manager and solution architect during deployment.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vendor shall provide on-site or remote 24x7 support with a maximum response time of 1 hour for P1 incidents.</w:t>
            </w:r>
          </w:p>
        </w:tc>
      </w:tr>
      <w:tr w:rsidR="004601F0" w:rsidTr="004601F0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601F0" w:rsidRDefault="004601F0">
            <w:r>
              <w:rPr>
                <w:color w:val="1A1A1A"/>
                <w:sz w:val="18"/>
                <w:szCs w:val="18"/>
              </w:rPr>
              <w:t>The vendor shall provide comprehensive technical documentation including architecture diagrams, admin guides, and API reference.</w:t>
            </w:r>
          </w:p>
        </w:tc>
      </w:tr>
    </w:tbl>
    <w:p w:rsidR="00661C21" w:rsidRDefault="0045265C" w:rsidP="00661C21">
      <w:pPr>
        <w:pStyle w:val="Heading1"/>
        <w:pBdr>
          <w:bottom w:val="single" w:sz="6" w:space="6" w:color="2E75B6"/>
        </w:pBdr>
      </w:pPr>
      <w:r>
        <w:t xml:space="preserve">5. </w:t>
      </w:r>
      <w:r w:rsidR="00661C21">
        <w:t xml:space="preserve">SLA and KPIs 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661C21" w:rsidTr="005E6302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61C21" w:rsidRDefault="00661C21" w:rsidP="005E6302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>Bidder must provide support services, including response times and escalation procedures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 xml:space="preserve">Solution should be always working on the latest software patch throughout the support period 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>Bidder must provide 3 years warranty and support for the overall solution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 xml:space="preserve">Support for 3 years start with the acceptance of the solution 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 xml:space="preserve">Bidder must provide on-site support and/or remote support as per the below SLA: </w:t>
            </w:r>
          </w:p>
        </w:tc>
      </w:tr>
    </w:tbl>
    <w:tbl>
      <w:tblPr>
        <w:tblStyle w:val="TableGrid1"/>
        <w:tblW w:w="9360" w:type="dxa"/>
        <w:tblInd w:w="-5" w:type="dxa"/>
        <w:tblLook w:val="04A0" w:firstRow="1" w:lastRow="0" w:firstColumn="1" w:lastColumn="0" w:noHBand="0" w:noVBand="1"/>
      </w:tblPr>
      <w:tblGrid>
        <w:gridCol w:w="3240"/>
        <w:gridCol w:w="2657"/>
        <w:gridCol w:w="3463"/>
      </w:tblGrid>
      <w:tr w:rsidR="00661C21" w:rsidRPr="00DD7009" w:rsidTr="00661C21">
        <w:tc>
          <w:tcPr>
            <w:tcW w:w="3240" w:type="dxa"/>
          </w:tcPr>
          <w:p w:rsidR="00661C21" w:rsidRPr="00DD7009" w:rsidRDefault="00661C21" w:rsidP="00661C21">
            <w:pPr>
              <w:numPr>
                <w:ilvl w:val="1"/>
                <w:numId w:val="4"/>
              </w:numPr>
              <w:contextualSpacing/>
              <w:rPr>
                <w:sz w:val="24"/>
                <w:szCs w:val="24"/>
              </w:rPr>
            </w:pPr>
            <w:r w:rsidRPr="00DD7009">
              <w:rPr>
                <w:sz w:val="24"/>
                <w:szCs w:val="24"/>
              </w:rPr>
              <w:t>Crucial Priority (severity A) (system down, threat or malware)</w:t>
            </w:r>
          </w:p>
        </w:tc>
        <w:tc>
          <w:tcPr>
            <w:tcW w:w="2657" w:type="dxa"/>
          </w:tcPr>
          <w:p w:rsidR="00661C21" w:rsidRPr="00DD7009" w:rsidRDefault="00661C21" w:rsidP="00661C21">
            <w:pPr>
              <w:numPr>
                <w:ilvl w:val="1"/>
                <w:numId w:val="4"/>
              </w:numPr>
              <w:contextualSpacing/>
              <w:rPr>
                <w:sz w:val="24"/>
                <w:szCs w:val="24"/>
              </w:rPr>
            </w:pPr>
            <w:r w:rsidRPr="00DD7009">
              <w:rPr>
                <w:sz w:val="24"/>
                <w:szCs w:val="24"/>
              </w:rPr>
              <w:t>Response immediate by phone or email</w:t>
            </w:r>
          </w:p>
        </w:tc>
        <w:tc>
          <w:tcPr>
            <w:tcW w:w="3463" w:type="dxa"/>
          </w:tcPr>
          <w:p w:rsidR="00661C21" w:rsidRPr="00A462A7" w:rsidRDefault="00661C21" w:rsidP="00661C21">
            <w:pPr>
              <w:numPr>
                <w:ilvl w:val="1"/>
                <w:numId w:val="4"/>
              </w:numPr>
              <w:contextualSpacing/>
              <w:rPr>
                <w:sz w:val="24"/>
                <w:szCs w:val="24"/>
              </w:rPr>
            </w:pPr>
            <w:r w:rsidRPr="00A462A7">
              <w:rPr>
                <w:sz w:val="24"/>
                <w:szCs w:val="24"/>
              </w:rPr>
              <w:t xml:space="preserve">Maximum 1-2 hours response time 24 hours -7 days a week and maximum </w:t>
            </w:r>
            <w:r>
              <w:rPr>
                <w:sz w:val="24"/>
                <w:szCs w:val="24"/>
              </w:rPr>
              <w:t>8 hours</w:t>
            </w:r>
            <w:r w:rsidRPr="00A462A7">
              <w:rPr>
                <w:sz w:val="24"/>
                <w:szCs w:val="24"/>
              </w:rPr>
              <w:t xml:space="preserve"> for resolution</w:t>
            </w:r>
          </w:p>
        </w:tc>
      </w:tr>
      <w:tr w:rsidR="00661C21" w:rsidRPr="00DD7009" w:rsidTr="00661C21">
        <w:tc>
          <w:tcPr>
            <w:tcW w:w="3240" w:type="dxa"/>
          </w:tcPr>
          <w:p w:rsidR="00661C21" w:rsidRPr="00DD7009" w:rsidRDefault="00661C21" w:rsidP="00661C21">
            <w:pPr>
              <w:numPr>
                <w:ilvl w:val="1"/>
                <w:numId w:val="4"/>
              </w:numPr>
              <w:contextualSpacing/>
              <w:rPr>
                <w:sz w:val="24"/>
                <w:szCs w:val="24"/>
              </w:rPr>
            </w:pPr>
            <w:r w:rsidRPr="00DD7009">
              <w:rPr>
                <w:sz w:val="24"/>
                <w:szCs w:val="24"/>
              </w:rPr>
              <w:lastRenderedPageBreak/>
              <w:t>Average Priority (system urgent or severity B)</w:t>
            </w:r>
          </w:p>
        </w:tc>
        <w:tc>
          <w:tcPr>
            <w:tcW w:w="2657" w:type="dxa"/>
          </w:tcPr>
          <w:p w:rsidR="00661C21" w:rsidRPr="00DD7009" w:rsidRDefault="00661C21" w:rsidP="00661C21">
            <w:pPr>
              <w:numPr>
                <w:ilvl w:val="1"/>
                <w:numId w:val="4"/>
              </w:numPr>
              <w:contextualSpacing/>
              <w:rPr>
                <w:sz w:val="24"/>
                <w:szCs w:val="24"/>
              </w:rPr>
            </w:pPr>
            <w:r w:rsidRPr="00DD7009">
              <w:rPr>
                <w:sz w:val="24"/>
                <w:szCs w:val="24"/>
              </w:rPr>
              <w:t xml:space="preserve">Response back phone or email within 2 -3 hours </w:t>
            </w:r>
          </w:p>
        </w:tc>
        <w:tc>
          <w:tcPr>
            <w:tcW w:w="3463" w:type="dxa"/>
          </w:tcPr>
          <w:p w:rsidR="00661C21" w:rsidRPr="00A462A7" w:rsidRDefault="00661C21" w:rsidP="00661C21">
            <w:pPr>
              <w:numPr>
                <w:ilvl w:val="1"/>
                <w:numId w:val="4"/>
              </w:numPr>
              <w:contextualSpacing/>
              <w:rPr>
                <w:sz w:val="24"/>
                <w:szCs w:val="24"/>
              </w:rPr>
            </w:pPr>
            <w:r w:rsidRPr="00A462A7">
              <w:rPr>
                <w:sz w:val="24"/>
                <w:szCs w:val="24"/>
              </w:rPr>
              <w:t>Maximum 5-6 hours response time 24 hours – 7 days a week , max 5 days for resolution</w:t>
            </w:r>
          </w:p>
        </w:tc>
      </w:tr>
      <w:tr w:rsidR="00661C21" w:rsidRPr="00DD7009" w:rsidTr="00661C21">
        <w:tc>
          <w:tcPr>
            <w:tcW w:w="3240" w:type="dxa"/>
          </w:tcPr>
          <w:p w:rsidR="00661C21" w:rsidRPr="00DD7009" w:rsidRDefault="00661C21" w:rsidP="00661C21">
            <w:pPr>
              <w:numPr>
                <w:ilvl w:val="1"/>
                <w:numId w:val="4"/>
              </w:numPr>
              <w:contextualSpacing/>
              <w:rPr>
                <w:sz w:val="24"/>
                <w:szCs w:val="24"/>
              </w:rPr>
            </w:pPr>
            <w:r w:rsidRPr="00DD7009">
              <w:rPr>
                <w:sz w:val="24"/>
                <w:szCs w:val="24"/>
              </w:rPr>
              <w:t>Not critical (system is running and no threat)</w:t>
            </w:r>
          </w:p>
        </w:tc>
        <w:tc>
          <w:tcPr>
            <w:tcW w:w="2657" w:type="dxa"/>
          </w:tcPr>
          <w:p w:rsidR="00661C21" w:rsidRPr="00DD7009" w:rsidRDefault="00661C21" w:rsidP="00661C21">
            <w:pPr>
              <w:numPr>
                <w:ilvl w:val="1"/>
                <w:numId w:val="4"/>
              </w:numPr>
              <w:contextualSpacing/>
              <w:rPr>
                <w:sz w:val="24"/>
                <w:szCs w:val="24"/>
              </w:rPr>
            </w:pPr>
            <w:r w:rsidRPr="00DD7009">
              <w:rPr>
                <w:sz w:val="24"/>
                <w:szCs w:val="24"/>
              </w:rPr>
              <w:t>Response back phone or email within 4-5 hours.</w:t>
            </w:r>
          </w:p>
        </w:tc>
        <w:tc>
          <w:tcPr>
            <w:tcW w:w="3463" w:type="dxa"/>
          </w:tcPr>
          <w:p w:rsidR="00661C21" w:rsidRPr="00A462A7" w:rsidRDefault="00661C21" w:rsidP="00661C21">
            <w:pPr>
              <w:numPr>
                <w:ilvl w:val="1"/>
                <w:numId w:val="4"/>
              </w:numPr>
              <w:contextualSpacing/>
              <w:rPr>
                <w:sz w:val="24"/>
                <w:szCs w:val="24"/>
              </w:rPr>
            </w:pPr>
            <w:r w:rsidRPr="00A462A7">
              <w:rPr>
                <w:sz w:val="24"/>
                <w:szCs w:val="24"/>
              </w:rPr>
              <w:t>Response by email or phone, site visit upon our request, max 2 weeks for resolution</w:t>
            </w:r>
          </w:p>
        </w:tc>
      </w:tr>
    </w:tbl>
    <w:p w:rsidR="002E4F64" w:rsidRDefault="002E4F64">
      <w:pPr>
        <w:spacing w:before="200"/>
      </w:pPr>
    </w:p>
    <w:p w:rsidR="00661C21" w:rsidRDefault="00661C21">
      <w:pPr>
        <w:spacing w:before="200"/>
      </w:pPr>
    </w:p>
    <w:p w:rsidR="00661C21" w:rsidRDefault="0045265C" w:rsidP="00661C21">
      <w:pPr>
        <w:pStyle w:val="Heading1"/>
        <w:pBdr>
          <w:bottom w:val="single" w:sz="6" w:space="6" w:color="2E75B6"/>
        </w:pBdr>
      </w:pPr>
      <w:r>
        <w:t xml:space="preserve">6. </w:t>
      </w:r>
      <w:r w:rsidR="00661C21">
        <w:t>Project Delivery and Deployment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661C21" w:rsidTr="005E6302">
        <w:trPr>
          <w:tblHeader/>
        </w:trPr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61C21" w:rsidRDefault="00661C21" w:rsidP="005E6302">
            <w:pPr>
              <w:jc w:val="center"/>
            </w:pPr>
            <w:r>
              <w:rPr>
                <w:b/>
                <w:bCs/>
                <w:color w:val="FFFFFF"/>
              </w:rPr>
              <w:t>Requirement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>Clear outline and detail for the expected delivery, installation, integration and validation times.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>Detailed PIP with clear milestones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>Delivery should adopt agile methodology, to deliver the project in phases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>Vendor must provide and share previous implementations of such project and solution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>Reference of large-scale implementations for similar solutions.</w:t>
            </w:r>
          </w:p>
        </w:tc>
      </w:tr>
      <w:tr w:rsid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Default="00661C21" w:rsidP="005E6302">
            <w:r>
              <w:rPr>
                <w:color w:val="1A1A1A"/>
                <w:sz w:val="18"/>
                <w:szCs w:val="18"/>
              </w:rPr>
              <w:t>Bidder/vendor are responsible for end-to-end integration including hardware racking, cabling, and power connectivity</w:t>
            </w:r>
          </w:p>
        </w:tc>
      </w:tr>
      <w:tr w:rsidR="00661C21" w:rsidTr="00661C21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Pr="00661C21" w:rsidRDefault="00661C21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Vendor must provide a minimum of 5 years roadmap for the proposed solution </w:t>
            </w:r>
          </w:p>
        </w:tc>
      </w:tr>
      <w:tr w:rsidR="00661C21" w:rsidTr="00661C21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Pr="00661C21" w:rsidRDefault="00661C21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Bidder must provide product description and complete user manual</w:t>
            </w:r>
          </w:p>
        </w:tc>
      </w:tr>
      <w:tr w:rsidR="00661C21" w:rsidRPr="00661C21" w:rsidTr="00661C21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661C21" w:rsidRPr="00661C21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Bidder must provide acceptance test plan</w:t>
            </w:r>
          </w:p>
        </w:tc>
      </w:tr>
    </w:tbl>
    <w:p w:rsidR="00661C21" w:rsidRDefault="00661C21">
      <w:pPr>
        <w:spacing w:before="200"/>
      </w:pPr>
    </w:p>
    <w:p w:rsidR="00661C21" w:rsidRDefault="00661C21">
      <w:pPr>
        <w:spacing w:before="200"/>
      </w:pPr>
    </w:p>
    <w:p w:rsidR="00661C21" w:rsidRDefault="0045265C" w:rsidP="00661C21">
      <w:pPr>
        <w:pStyle w:val="Heading1"/>
        <w:pBdr>
          <w:bottom w:val="single" w:sz="6" w:space="6" w:color="2E75B6"/>
        </w:pBdr>
      </w:pPr>
      <w:r>
        <w:t xml:space="preserve">7. </w:t>
      </w:r>
      <w:r w:rsidR="00730A9C">
        <w:t xml:space="preserve">Killing factors 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730A9C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Default="00730A9C" w:rsidP="00744048">
            <w:r>
              <w:rPr>
                <w:color w:val="1A1A1A"/>
                <w:sz w:val="18"/>
                <w:szCs w:val="18"/>
              </w:rPr>
              <w:t xml:space="preserve">Vendor must </w:t>
            </w:r>
            <w:r w:rsidR="00744048">
              <w:rPr>
                <w:color w:val="1A1A1A"/>
                <w:sz w:val="18"/>
                <w:szCs w:val="18"/>
              </w:rPr>
              <w:t>provide</w:t>
            </w:r>
            <w:r>
              <w:rPr>
                <w:color w:val="1A1A1A"/>
                <w:sz w:val="18"/>
                <w:szCs w:val="18"/>
              </w:rPr>
              <w:t xml:space="preserve"> at least 5 references in telecom operators covering at least 30 million customers</w:t>
            </w:r>
            <w:r w:rsidR="00744048">
              <w:rPr>
                <w:color w:val="1A1A1A"/>
                <w:sz w:val="18"/>
                <w:szCs w:val="18"/>
              </w:rPr>
              <w:t xml:space="preserve"> – commercial solution and not </w:t>
            </w:r>
            <w:proofErr w:type="spellStart"/>
            <w:r w:rsidR="00744048">
              <w:rPr>
                <w:color w:val="1A1A1A"/>
                <w:sz w:val="18"/>
                <w:szCs w:val="18"/>
              </w:rPr>
              <w:t>PoC</w:t>
            </w:r>
            <w:proofErr w:type="spellEnd"/>
          </w:p>
        </w:tc>
      </w:tr>
      <w:tr w:rsidR="00744048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44048" w:rsidRDefault="00744048" w:rsidP="00744048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References should include operators with multi-protocol solution (SS7 – Diameter -5G) deployed in live production </w:t>
            </w:r>
          </w:p>
        </w:tc>
      </w:tr>
      <w:tr w:rsidR="00730A9C" w:rsidRP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Solution must not have any impact on the normal customers  </w:t>
            </w:r>
          </w:p>
        </w:tc>
      </w:tr>
      <w:tr w:rsidR="00730A9C" w:rsidRP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Solution must cover multi-protocol coverage in a single platform </w:t>
            </w:r>
          </w:p>
        </w:tc>
      </w:tr>
      <w:tr w:rsidR="00730A9C" w:rsidRP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Solution must be 5G SBA ready </w:t>
            </w:r>
          </w:p>
        </w:tc>
      </w:tr>
      <w:tr w:rsidR="00730A9C" w:rsidTr="00730A9C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730A9C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Solution must have </w:t>
            </w:r>
            <w:proofErr w:type="spellStart"/>
            <w:r>
              <w:rPr>
                <w:color w:val="1A1A1A"/>
                <w:sz w:val="18"/>
                <w:szCs w:val="18"/>
              </w:rPr>
              <w:t>stateful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inspection across all three protocol domains</w:t>
            </w:r>
          </w:p>
        </w:tc>
      </w:tr>
      <w:tr w:rsidR="00730A9C" w:rsidRPr="00661C21" w:rsidTr="00730A9C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Vendor must provide 24*7 support as per the SLA</w:t>
            </w:r>
          </w:p>
        </w:tc>
      </w:tr>
    </w:tbl>
    <w:p w:rsidR="00661C21" w:rsidRDefault="00661C21">
      <w:pPr>
        <w:spacing w:before="200"/>
      </w:pPr>
      <w:bookmarkStart w:id="0" w:name="_GoBack"/>
      <w:bookmarkEnd w:id="0"/>
    </w:p>
    <w:p w:rsidR="00661C21" w:rsidRDefault="0045265C" w:rsidP="00661C21">
      <w:pPr>
        <w:pStyle w:val="Heading1"/>
        <w:pBdr>
          <w:bottom w:val="single" w:sz="6" w:space="6" w:color="2E75B6"/>
        </w:pBdr>
      </w:pPr>
      <w:r>
        <w:t xml:space="preserve">8. </w:t>
      </w:r>
      <w:r w:rsidR="00730A9C">
        <w:t xml:space="preserve">Bill of Quantity 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730A9C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Default="00730A9C" w:rsidP="005E6302">
            <w:r>
              <w:rPr>
                <w:color w:val="1A1A1A"/>
                <w:sz w:val="18"/>
                <w:szCs w:val="18"/>
              </w:rPr>
              <w:t>Hardware for the solution including all needed equipment</w:t>
            </w:r>
          </w:p>
        </w:tc>
      </w:tr>
      <w:tr w:rsidR="00730A9C" w:rsidRP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Detailed </w:t>
            </w:r>
            <w:proofErr w:type="spellStart"/>
            <w:r>
              <w:rPr>
                <w:color w:val="1A1A1A"/>
                <w:sz w:val="18"/>
                <w:szCs w:val="18"/>
              </w:rPr>
              <w:t>unblilled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boq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in the technical scope  </w:t>
            </w:r>
          </w:p>
        </w:tc>
      </w:tr>
      <w:tr w:rsidR="00730A9C" w:rsidRP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3 years warranty and support after FAC </w:t>
            </w:r>
          </w:p>
        </w:tc>
      </w:tr>
      <w:tr w:rsidR="00730A9C" w:rsidRP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Licenses provided as part of the solution  </w:t>
            </w:r>
          </w:p>
        </w:tc>
      </w:tr>
      <w:tr w:rsidR="00730A9C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730A9C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Advanced technical training including travel accommodation, and hotel reservation (5 people)</w:t>
            </w:r>
          </w:p>
        </w:tc>
      </w:tr>
    </w:tbl>
    <w:p w:rsidR="00661C21" w:rsidRDefault="00661C21">
      <w:pPr>
        <w:spacing w:before="200"/>
      </w:pPr>
    </w:p>
    <w:p w:rsidR="00661C21" w:rsidRDefault="0045265C" w:rsidP="00661C21">
      <w:pPr>
        <w:pStyle w:val="Heading1"/>
        <w:pBdr>
          <w:bottom w:val="single" w:sz="6" w:space="6" w:color="2E75B6"/>
        </w:pBdr>
      </w:pPr>
      <w:r>
        <w:t xml:space="preserve">9. </w:t>
      </w:r>
      <w:r w:rsidR="00730A9C">
        <w:t>Pricing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730A9C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Default="00730A9C" w:rsidP="005E6302">
            <w:r>
              <w:rPr>
                <w:color w:val="1A1A1A"/>
                <w:sz w:val="18"/>
                <w:szCs w:val="18"/>
              </w:rPr>
              <w:t>Break down of all the prices must be provided</w:t>
            </w:r>
          </w:p>
        </w:tc>
      </w:tr>
      <w:tr w:rsidR="00730A9C" w:rsidRP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Unbilled price list should be part of the technical offer</w:t>
            </w:r>
          </w:p>
        </w:tc>
      </w:tr>
      <w:tr w:rsidR="00730A9C" w:rsidTr="00730A9C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730A9C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All details- documents provided as part of the technical RFP will be considered part of the solution and must be provided- even if not provided in the commercial offer</w:t>
            </w:r>
          </w:p>
        </w:tc>
      </w:tr>
      <w:tr w:rsidR="00730A9C" w:rsidRPr="00661C21" w:rsidTr="00730A9C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730A9C" w:rsidP="00730A9C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Break down should include but not limited to the hardware part, the services, training, configuration, and licenses.</w:t>
            </w:r>
          </w:p>
        </w:tc>
      </w:tr>
    </w:tbl>
    <w:p w:rsidR="00661C21" w:rsidRDefault="00661C21">
      <w:pPr>
        <w:spacing w:before="200"/>
      </w:pPr>
    </w:p>
    <w:p w:rsidR="00730A9C" w:rsidRDefault="00730A9C">
      <w:pPr>
        <w:spacing w:before="200"/>
      </w:pPr>
    </w:p>
    <w:p w:rsidR="00730A9C" w:rsidRDefault="0045265C" w:rsidP="00730A9C">
      <w:pPr>
        <w:pStyle w:val="Heading1"/>
        <w:pBdr>
          <w:bottom w:val="single" w:sz="6" w:space="6" w:color="2E75B6"/>
        </w:pBdr>
      </w:pPr>
      <w:r>
        <w:t xml:space="preserve">10. </w:t>
      </w:r>
      <w:r w:rsidR="00730A9C">
        <w:t>Training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9"/>
      </w:tblGrid>
      <w:tr w:rsidR="00730A9C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Default="00730A9C" w:rsidP="005E6302">
            <w:r>
              <w:rPr>
                <w:color w:val="1A1A1A"/>
                <w:sz w:val="18"/>
                <w:szCs w:val="18"/>
              </w:rPr>
              <w:t>Detailed training with documentation related to user manual and configuration</w:t>
            </w:r>
          </w:p>
        </w:tc>
      </w:tr>
      <w:tr w:rsidR="00730A9C" w:rsidRP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730A9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Training should cover all areas of the solution from integration to operation</w:t>
            </w:r>
          </w:p>
        </w:tc>
      </w:tr>
      <w:tr w:rsidR="00730A9C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730A9C" w:rsidRDefault="0045265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 xml:space="preserve">Provide actual hands-on with real system like data similar to live environment </w:t>
            </w:r>
          </w:p>
        </w:tc>
      </w:tr>
      <w:tr w:rsidR="00730A9C" w:rsidRPr="00661C21" w:rsidTr="005E6302">
        <w:tc>
          <w:tcPr>
            <w:tcW w:w="935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0A9C" w:rsidRPr="00661C21" w:rsidRDefault="0045265C" w:rsidP="005E6302">
            <w:pPr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Advanced technical training for 5 Engineers including travel accommodation and hotel reservation</w:t>
            </w:r>
          </w:p>
        </w:tc>
      </w:tr>
    </w:tbl>
    <w:p w:rsidR="00730A9C" w:rsidRDefault="00730A9C" w:rsidP="00730A9C">
      <w:pPr>
        <w:spacing w:before="200"/>
      </w:pPr>
    </w:p>
    <w:p w:rsidR="00730A9C" w:rsidRDefault="00730A9C">
      <w:pPr>
        <w:spacing w:before="200"/>
      </w:pPr>
    </w:p>
    <w:sectPr w:rsidR="00730A9C">
      <w:headerReference w:type="default" r:id="rId7"/>
      <w:footerReference w:type="default" r:id="rId8"/>
      <w:pgSz w:w="12240" w:h="15840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0CB" w:rsidRDefault="00D70A58">
      <w:r>
        <w:separator/>
      </w:r>
    </w:p>
  </w:endnote>
  <w:endnote w:type="continuationSeparator" w:id="0">
    <w:p w:rsidR="003B00CB" w:rsidRDefault="00D7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64" w:rsidRDefault="00D70A58">
    <w:pPr>
      <w:pBdr>
        <w:top w:val="single" w:sz="4" w:space="4" w:color="2E75B6"/>
      </w:pBdr>
      <w:tabs>
        <w:tab w:val="right" w:pos="9026"/>
      </w:tabs>
      <w:spacing w:before="80"/>
    </w:pPr>
    <w:r>
      <w:rPr>
        <w:color w:val="666666"/>
        <w:sz w:val="16"/>
        <w:szCs w:val="16"/>
      </w:rPr>
      <w:t>MIC2 – Telecom Security Division</w:t>
    </w:r>
    <w:r>
      <w:rPr>
        <w:color w:val="666666"/>
        <w:sz w:val="16"/>
        <w:szCs w:val="16"/>
      </w:rPr>
      <w:tab/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0CB" w:rsidRDefault="00D70A58">
      <w:r>
        <w:separator/>
      </w:r>
    </w:p>
  </w:footnote>
  <w:footnote w:type="continuationSeparator" w:id="0">
    <w:p w:rsidR="003B00CB" w:rsidRDefault="00D7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64" w:rsidRDefault="00D70A58">
    <w:pPr>
      <w:pBdr>
        <w:bottom w:val="single" w:sz="6" w:space="6" w:color="2E75B6"/>
      </w:pBdr>
      <w:tabs>
        <w:tab w:val="right" w:pos="9026"/>
      </w:tabs>
      <w:spacing w:after="120"/>
    </w:pPr>
    <w:r>
      <w:rPr>
        <w:b/>
        <w:bCs/>
        <w:color w:val="1F4E79"/>
        <w:sz w:val="18"/>
        <w:szCs w:val="18"/>
      </w:rPr>
      <w:t>SS7 Firewall Solution – Request for Proposal (RFP) | MIC2</w:t>
    </w:r>
    <w:r>
      <w:rPr>
        <w:sz w:val="18"/>
        <w:szCs w:val="18"/>
      </w:rPr>
      <w:tab/>
    </w:r>
    <w:r>
      <w:rPr>
        <w:b/>
        <w:bCs/>
        <w:color w:val="C00000"/>
        <w:sz w:val="18"/>
        <w:szCs w:val="1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1AFF"/>
    <w:multiLevelType w:val="hybridMultilevel"/>
    <w:tmpl w:val="AF8AE522"/>
    <w:lvl w:ilvl="0" w:tplc="F640B0C6">
      <w:start w:val="1"/>
      <w:numFmt w:val="decimal"/>
      <w:lvlText w:val="%1."/>
      <w:lvlJc w:val="left"/>
      <w:pPr>
        <w:ind w:left="720" w:hanging="360"/>
      </w:pPr>
    </w:lvl>
    <w:lvl w:ilvl="1" w:tplc="4ED6FE50">
      <w:numFmt w:val="decimal"/>
      <w:lvlText w:val=""/>
      <w:lvlJc w:val="left"/>
    </w:lvl>
    <w:lvl w:ilvl="2" w:tplc="D2BAB694">
      <w:numFmt w:val="decimal"/>
      <w:lvlText w:val=""/>
      <w:lvlJc w:val="left"/>
    </w:lvl>
    <w:lvl w:ilvl="3" w:tplc="D614662C">
      <w:numFmt w:val="decimal"/>
      <w:lvlText w:val=""/>
      <w:lvlJc w:val="left"/>
    </w:lvl>
    <w:lvl w:ilvl="4" w:tplc="21426814">
      <w:numFmt w:val="decimal"/>
      <w:lvlText w:val=""/>
      <w:lvlJc w:val="left"/>
    </w:lvl>
    <w:lvl w:ilvl="5" w:tplc="3CE6AE86">
      <w:numFmt w:val="decimal"/>
      <w:lvlText w:val=""/>
      <w:lvlJc w:val="left"/>
    </w:lvl>
    <w:lvl w:ilvl="6" w:tplc="EA9C229E">
      <w:numFmt w:val="decimal"/>
      <w:lvlText w:val=""/>
      <w:lvlJc w:val="left"/>
    </w:lvl>
    <w:lvl w:ilvl="7" w:tplc="719E453E">
      <w:numFmt w:val="decimal"/>
      <w:lvlText w:val=""/>
      <w:lvlJc w:val="left"/>
    </w:lvl>
    <w:lvl w:ilvl="8" w:tplc="BF0499C6">
      <w:numFmt w:val="decimal"/>
      <w:lvlText w:val=""/>
      <w:lvlJc w:val="left"/>
    </w:lvl>
  </w:abstractNum>
  <w:abstractNum w:abstractNumId="1" w15:restartNumberingAfterBreak="0">
    <w:nsid w:val="197C62CA"/>
    <w:multiLevelType w:val="hybridMultilevel"/>
    <w:tmpl w:val="62DE3908"/>
    <w:lvl w:ilvl="0" w:tplc="46DE12AC">
      <w:start w:val="1"/>
      <w:numFmt w:val="bullet"/>
      <w:lvlText w:val="•"/>
      <w:lvlJc w:val="left"/>
      <w:pPr>
        <w:ind w:left="720" w:hanging="360"/>
      </w:pPr>
    </w:lvl>
    <w:lvl w:ilvl="1" w:tplc="97062B3C">
      <w:start w:val="1"/>
      <w:numFmt w:val="bullet"/>
      <w:lvlText w:val="◦"/>
      <w:lvlJc w:val="left"/>
      <w:pPr>
        <w:ind w:left="1080" w:hanging="360"/>
      </w:pPr>
    </w:lvl>
    <w:lvl w:ilvl="2" w:tplc="E23CAFA0">
      <w:numFmt w:val="decimal"/>
      <w:lvlText w:val=""/>
      <w:lvlJc w:val="left"/>
    </w:lvl>
    <w:lvl w:ilvl="3" w:tplc="25DA7C0E">
      <w:numFmt w:val="decimal"/>
      <w:lvlText w:val=""/>
      <w:lvlJc w:val="left"/>
    </w:lvl>
    <w:lvl w:ilvl="4" w:tplc="B7E68544">
      <w:numFmt w:val="decimal"/>
      <w:lvlText w:val=""/>
      <w:lvlJc w:val="left"/>
    </w:lvl>
    <w:lvl w:ilvl="5" w:tplc="22ACADAE">
      <w:numFmt w:val="decimal"/>
      <w:lvlText w:val=""/>
      <w:lvlJc w:val="left"/>
    </w:lvl>
    <w:lvl w:ilvl="6" w:tplc="5CE641DC">
      <w:numFmt w:val="decimal"/>
      <w:lvlText w:val=""/>
      <w:lvlJc w:val="left"/>
    </w:lvl>
    <w:lvl w:ilvl="7" w:tplc="289431C8">
      <w:numFmt w:val="decimal"/>
      <w:lvlText w:val=""/>
      <w:lvlJc w:val="left"/>
    </w:lvl>
    <w:lvl w:ilvl="8" w:tplc="35009ED6">
      <w:numFmt w:val="decimal"/>
      <w:lvlText w:val=""/>
      <w:lvlJc w:val="left"/>
    </w:lvl>
  </w:abstractNum>
  <w:abstractNum w:abstractNumId="2" w15:restartNumberingAfterBreak="0">
    <w:nsid w:val="7B037131"/>
    <w:multiLevelType w:val="hybridMultilevel"/>
    <w:tmpl w:val="E2BAAAD4"/>
    <w:lvl w:ilvl="0" w:tplc="732241DA">
      <w:start w:val="1"/>
      <w:numFmt w:val="decimal"/>
      <w:lvlText w:val="%1."/>
      <w:lvlJc w:val="left"/>
      <w:pPr>
        <w:ind w:left="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710" w:hanging="180"/>
      </w:pPr>
      <w:rPr>
        <w:rFonts w:ascii="Courier New" w:hAnsi="Courier New" w:cs="Courier New" w:hint="default"/>
      </w:rPr>
    </w:lvl>
    <w:lvl w:ilvl="3" w:tplc="0C3A55D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695B1C"/>
    <w:multiLevelType w:val="hybridMultilevel"/>
    <w:tmpl w:val="FEBAD8D6"/>
    <w:lvl w:ilvl="0" w:tplc="1F3A4A86">
      <w:start w:val="1"/>
      <w:numFmt w:val="bullet"/>
      <w:lvlText w:val="●"/>
      <w:lvlJc w:val="left"/>
      <w:pPr>
        <w:ind w:left="720" w:hanging="360"/>
      </w:pPr>
    </w:lvl>
    <w:lvl w:ilvl="1" w:tplc="897E1118">
      <w:start w:val="1"/>
      <w:numFmt w:val="bullet"/>
      <w:lvlText w:val="○"/>
      <w:lvlJc w:val="left"/>
      <w:pPr>
        <w:ind w:left="1440" w:hanging="360"/>
      </w:pPr>
    </w:lvl>
    <w:lvl w:ilvl="2" w:tplc="09602B16">
      <w:start w:val="1"/>
      <w:numFmt w:val="bullet"/>
      <w:lvlText w:val="■"/>
      <w:lvlJc w:val="left"/>
      <w:pPr>
        <w:ind w:left="2160" w:hanging="360"/>
      </w:pPr>
    </w:lvl>
    <w:lvl w:ilvl="3" w:tplc="796A5E54">
      <w:start w:val="1"/>
      <w:numFmt w:val="bullet"/>
      <w:lvlText w:val="●"/>
      <w:lvlJc w:val="left"/>
      <w:pPr>
        <w:ind w:left="2880" w:hanging="360"/>
      </w:pPr>
    </w:lvl>
    <w:lvl w:ilvl="4" w:tplc="42C854F0">
      <w:start w:val="1"/>
      <w:numFmt w:val="bullet"/>
      <w:lvlText w:val="○"/>
      <w:lvlJc w:val="left"/>
      <w:pPr>
        <w:ind w:left="3600" w:hanging="360"/>
      </w:pPr>
    </w:lvl>
    <w:lvl w:ilvl="5" w:tplc="DBF03ADC">
      <w:start w:val="1"/>
      <w:numFmt w:val="bullet"/>
      <w:lvlText w:val="■"/>
      <w:lvlJc w:val="left"/>
      <w:pPr>
        <w:ind w:left="4320" w:hanging="360"/>
      </w:pPr>
    </w:lvl>
    <w:lvl w:ilvl="6" w:tplc="745A16EC">
      <w:start w:val="1"/>
      <w:numFmt w:val="bullet"/>
      <w:lvlText w:val="●"/>
      <w:lvlJc w:val="left"/>
      <w:pPr>
        <w:ind w:left="5040" w:hanging="360"/>
      </w:pPr>
    </w:lvl>
    <w:lvl w:ilvl="7" w:tplc="A176951E">
      <w:start w:val="1"/>
      <w:numFmt w:val="bullet"/>
      <w:lvlText w:val="●"/>
      <w:lvlJc w:val="left"/>
      <w:pPr>
        <w:ind w:left="5760" w:hanging="360"/>
      </w:pPr>
    </w:lvl>
    <w:lvl w:ilvl="8" w:tplc="208881E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4"/>
    <w:rsid w:val="002E4F64"/>
    <w:rsid w:val="003947A0"/>
    <w:rsid w:val="003B00CB"/>
    <w:rsid w:val="0045265C"/>
    <w:rsid w:val="004601F0"/>
    <w:rsid w:val="00661C21"/>
    <w:rsid w:val="00730A9C"/>
    <w:rsid w:val="00744048"/>
    <w:rsid w:val="00D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91B5"/>
  <w15:docId w15:val="{1F94F178-E89A-4BAB-9D09-BC638EA4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60" w:after="16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qFormat/>
    <w:pPr>
      <w:spacing w:before="28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qFormat/>
    <w:pPr>
      <w:spacing w:before="200" w:after="100"/>
      <w:outlineLvl w:val="2"/>
    </w:pPr>
    <w:rPr>
      <w:b/>
      <w:bCs/>
      <w:color w:val="1A1A1A"/>
      <w:sz w:val="22"/>
      <w:szCs w:val="22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661C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h.shibli@touch.com.lb</dc:creator>
  <cp:lastModifiedBy>Haitham Shibli</cp:lastModifiedBy>
  <cp:revision>5</cp:revision>
  <dcterms:created xsi:type="dcterms:W3CDTF">2026-03-03T13:04:00Z</dcterms:created>
  <dcterms:modified xsi:type="dcterms:W3CDTF">2026-03-04T10:53:00Z</dcterms:modified>
</cp:coreProperties>
</file>