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F6" w:rsidRPr="00744519" w:rsidRDefault="00D659F6" w:rsidP="00D659F6">
      <w:pPr>
        <w:pStyle w:val="Heading1"/>
      </w:pPr>
      <w:bookmarkStart w:id="0" w:name="_Toc130553369"/>
      <w:bookmarkStart w:id="1" w:name="_Toc130554842"/>
      <w:r w:rsidRPr="00744519">
        <w:t>RFP Killing Factors</w:t>
      </w:r>
      <w:bookmarkEnd w:id="0"/>
      <w:bookmarkEnd w:id="1"/>
    </w:p>
    <w:p w:rsidR="00D659F6" w:rsidRPr="00E20EDB" w:rsidRDefault="00D659F6" w:rsidP="00D659F6">
      <w:pPr>
        <w:spacing w:after="120" w:line="276" w:lineRule="auto"/>
        <w:jc w:val="both"/>
        <w:rPr>
          <w:rFonts w:asciiTheme="minorBidi" w:hAnsiTheme="minorBidi" w:cstheme="minorBidi"/>
          <w:color w:val="000000" w:themeColor="text1"/>
          <w:sz w:val="24"/>
          <w:szCs w:val="24"/>
        </w:rPr>
      </w:pPr>
      <w:r w:rsidRPr="00E20EDB">
        <w:rPr>
          <w:rFonts w:asciiTheme="minorBidi" w:hAnsiTheme="minorBidi" w:cstheme="minorBidi"/>
          <w:color w:val="000000" w:themeColor="text1"/>
          <w:sz w:val="24"/>
          <w:szCs w:val="24"/>
        </w:rPr>
        <w:t>Bidder who fail to comply with the below requirements will be automatically excluded and disqualified from the tender:</w:t>
      </w:r>
    </w:p>
    <w:p w:rsidR="00D659F6" w:rsidRDefault="00D659F6" w:rsidP="00D659F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E20EDB">
        <w:rPr>
          <w:rFonts w:asciiTheme="minorBidi" w:hAnsiTheme="minorBidi" w:cstheme="minorBidi"/>
          <w:color w:val="000000" w:themeColor="text1"/>
        </w:rPr>
        <w:t xml:space="preserve">The offered rectifiers and batteries shall have been successfully installed and operational in at least five (5) Data Centers located in the European Union, USA, Gulf region, </w:t>
      </w:r>
      <w:r>
        <w:rPr>
          <w:rFonts w:asciiTheme="minorBidi" w:hAnsiTheme="minorBidi" w:cstheme="minorBidi"/>
          <w:color w:val="000000" w:themeColor="text1"/>
        </w:rPr>
        <w:t xml:space="preserve">far East, </w:t>
      </w:r>
      <w:r w:rsidRPr="00E20EDB">
        <w:rPr>
          <w:rFonts w:asciiTheme="minorBidi" w:hAnsiTheme="minorBidi" w:cstheme="minorBidi"/>
          <w:color w:val="000000" w:themeColor="text1"/>
        </w:rPr>
        <w:t>or Canada.</w:t>
      </w:r>
    </w:p>
    <w:p w:rsidR="00D659F6" w:rsidRPr="00573CA6" w:rsidRDefault="00D659F6" w:rsidP="00D659F6">
      <w:pPr>
        <w:pStyle w:val="ListParagraph"/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</w:p>
    <w:p w:rsidR="00D659F6" w:rsidRDefault="00D659F6" w:rsidP="00D659F6">
      <w:pPr>
        <w:pStyle w:val="ListParagraph"/>
        <w:numPr>
          <w:ilvl w:val="0"/>
          <w:numId w:val="1"/>
        </w:numPr>
        <w:spacing w:before="100" w:beforeAutospacing="1" w:after="100" w:afterAutospacing="1"/>
      </w:pPr>
      <w:r w:rsidRPr="00573CA6">
        <w:t xml:space="preserve">The bidder must provide at least three (3) project references executed during the last five (5) years with different </w:t>
      </w:r>
      <w:r>
        <w:t xml:space="preserve">major </w:t>
      </w:r>
      <w:r w:rsidRPr="00573CA6">
        <w:t>customers, demonstrating similar scope and complexity.</w:t>
      </w:r>
      <w:r>
        <w:t xml:space="preserve"> </w:t>
      </w:r>
      <w:r w:rsidRPr="00573CA6">
        <w:t>However, in case the bidder does not directly hold such references, companies that are in an official joint venture or partnership with a well-established and internationally recognized company in the field of power and energy systems shall also be considered eligible, provided that:</w:t>
      </w:r>
    </w:p>
    <w:p w:rsidR="00D659F6" w:rsidRDefault="00D659F6" w:rsidP="00D659F6">
      <w:pPr>
        <w:pStyle w:val="ListParagraph"/>
      </w:pPr>
    </w:p>
    <w:p w:rsidR="00D659F6" w:rsidRPr="00573CA6" w:rsidRDefault="00D659F6" w:rsidP="00D659F6">
      <w:pPr>
        <w:pStyle w:val="ListParagraph"/>
        <w:numPr>
          <w:ilvl w:val="0"/>
          <w:numId w:val="6"/>
        </w:numPr>
        <w:spacing w:before="100" w:beforeAutospacing="1" w:after="100" w:afterAutospacing="1"/>
      </w:pPr>
      <w:r w:rsidRPr="00573CA6">
        <w:t>The international partner possesses the required project references demonstrating similar scope and complexity; and</w:t>
      </w:r>
    </w:p>
    <w:p w:rsidR="00D659F6" w:rsidRPr="00573CA6" w:rsidRDefault="00D659F6" w:rsidP="00D659F6">
      <w:pPr>
        <w:numPr>
          <w:ilvl w:val="0"/>
          <w:numId w:val="5"/>
        </w:numPr>
        <w:spacing w:before="100" w:beforeAutospacing="1" w:after="100" w:afterAutospacing="1"/>
        <w:rPr>
          <w:rFonts w:ascii="Arial" w:hAnsi="Arial"/>
          <w:sz w:val="24"/>
          <w:szCs w:val="24"/>
        </w:rPr>
      </w:pPr>
      <w:r w:rsidRPr="00573CA6">
        <w:rPr>
          <w:rFonts w:ascii="Arial" w:hAnsi="Arial"/>
          <w:sz w:val="24"/>
          <w:szCs w:val="24"/>
        </w:rPr>
        <w:t>Valid documentation of the joint venture or partnership agreement is submitted as part of the technical offer; and</w:t>
      </w:r>
    </w:p>
    <w:p w:rsidR="00D659F6" w:rsidRPr="00573CA6" w:rsidRDefault="00D659F6" w:rsidP="00D659F6">
      <w:pPr>
        <w:numPr>
          <w:ilvl w:val="0"/>
          <w:numId w:val="5"/>
        </w:numPr>
        <w:spacing w:before="100" w:beforeAutospacing="1" w:after="100" w:afterAutospacing="1"/>
        <w:rPr>
          <w:rFonts w:ascii="Arial" w:hAnsi="Arial"/>
          <w:sz w:val="24"/>
          <w:szCs w:val="24"/>
        </w:rPr>
      </w:pPr>
      <w:r w:rsidRPr="00573CA6">
        <w:rPr>
          <w:rFonts w:ascii="Arial" w:hAnsi="Arial"/>
          <w:sz w:val="24"/>
          <w:szCs w:val="24"/>
        </w:rPr>
        <w:t>The bidder includes the international partner’s project references and credentials within the submission.</w:t>
      </w:r>
    </w:p>
    <w:p w:rsidR="00D659F6" w:rsidRPr="00E20EDB" w:rsidRDefault="00D659F6" w:rsidP="00D659F6">
      <w:pPr>
        <w:pStyle w:val="ListParagraph"/>
        <w:rPr>
          <w:rFonts w:asciiTheme="minorBidi" w:hAnsiTheme="minorBidi" w:cstheme="minorBidi"/>
          <w:color w:val="000000" w:themeColor="text1"/>
        </w:rPr>
      </w:pPr>
    </w:p>
    <w:p w:rsidR="00D659F6" w:rsidRPr="00E20EDB" w:rsidRDefault="00D659F6" w:rsidP="00D659F6">
      <w:pPr>
        <w:pStyle w:val="ListParagraph"/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</w:p>
    <w:p w:rsidR="00D659F6" w:rsidRPr="00E20EDB" w:rsidRDefault="00D659F6" w:rsidP="00D659F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E20EDB">
        <w:rPr>
          <w:rFonts w:asciiTheme="minorBidi" w:hAnsiTheme="minorBidi" w:cstheme="minorBidi"/>
          <w:color w:val="000000" w:themeColor="text1"/>
        </w:rPr>
        <w:t>The bidder shall commit to execute the full project scope as defined in this RFP, including supply, installation, testing, commissioning, and training.</w:t>
      </w:r>
    </w:p>
    <w:p w:rsidR="00D659F6" w:rsidRPr="00E20EDB" w:rsidRDefault="00D659F6" w:rsidP="00D659F6">
      <w:pPr>
        <w:pStyle w:val="ListParagraph"/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</w:p>
    <w:p w:rsidR="00D659F6" w:rsidRDefault="00D659F6" w:rsidP="00D659F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E20EDB">
        <w:rPr>
          <w:rFonts w:asciiTheme="minorBidi" w:hAnsiTheme="minorBidi" w:cstheme="minorBidi"/>
          <w:color w:val="000000" w:themeColor="text1"/>
        </w:rPr>
        <w:t>The proposed batteries must be Lithium Iron Phosphate (</w:t>
      </w:r>
      <w:proofErr w:type="spellStart"/>
      <w:r w:rsidRPr="00E20EDB">
        <w:rPr>
          <w:rFonts w:asciiTheme="minorBidi" w:hAnsiTheme="minorBidi" w:cstheme="minorBidi"/>
          <w:color w:val="000000" w:themeColor="text1"/>
        </w:rPr>
        <w:t>LiFePO</w:t>
      </w:r>
      <w:proofErr w:type="spellEnd"/>
      <w:r w:rsidRPr="00E20EDB">
        <w:rPr>
          <w:rFonts w:ascii="Cambria Math" w:hAnsi="Cambria Math" w:cs="Cambria Math"/>
          <w:color w:val="000000" w:themeColor="text1"/>
        </w:rPr>
        <w:t>₄</w:t>
      </w:r>
      <w:r w:rsidRPr="00E20EDB">
        <w:rPr>
          <w:rFonts w:asciiTheme="minorBidi" w:hAnsiTheme="minorBidi" w:cstheme="minorBidi"/>
          <w:color w:val="000000" w:themeColor="text1"/>
        </w:rPr>
        <w:t>) chemistry.</w:t>
      </w:r>
    </w:p>
    <w:p w:rsidR="00D659F6" w:rsidRPr="00332F0D" w:rsidRDefault="00D659F6" w:rsidP="00D659F6">
      <w:pPr>
        <w:pStyle w:val="ListParagraph"/>
        <w:rPr>
          <w:rFonts w:asciiTheme="minorBidi" w:hAnsiTheme="minorBidi" w:cstheme="minorBidi"/>
          <w:color w:val="000000" w:themeColor="text1"/>
        </w:rPr>
      </w:pPr>
    </w:p>
    <w:p w:rsidR="00D659F6" w:rsidRPr="00E20EDB" w:rsidRDefault="00D659F6" w:rsidP="00D659F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332F0D">
        <w:rPr>
          <w:rFonts w:asciiTheme="minorBidi" w:hAnsiTheme="minorBidi" w:cstheme="minorBidi"/>
          <w:color w:val="000000" w:themeColor="text1"/>
        </w:rPr>
        <w:t>All proposed equipment shall be telecom-grade, designed for continuous 24/7 operation in indoor technical environments.</w:t>
      </w:r>
    </w:p>
    <w:p w:rsidR="00D659F6" w:rsidRPr="00E20EDB" w:rsidRDefault="00D659F6" w:rsidP="00D659F6">
      <w:pPr>
        <w:pStyle w:val="ListParagraph"/>
        <w:rPr>
          <w:rFonts w:asciiTheme="minorBidi" w:hAnsiTheme="minorBidi" w:cstheme="minorBidi"/>
          <w:color w:val="000000" w:themeColor="text1"/>
        </w:rPr>
      </w:pPr>
    </w:p>
    <w:p w:rsidR="00D659F6" w:rsidRPr="00E20EDB" w:rsidRDefault="00D659F6" w:rsidP="00D659F6">
      <w:pPr>
        <w:pStyle w:val="ListParagraph"/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</w:p>
    <w:p w:rsidR="00D659F6" w:rsidRPr="00E20EDB" w:rsidRDefault="00D659F6" w:rsidP="00D659F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E20EDB">
        <w:rPr>
          <w:rFonts w:asciiTheme="minorBidi" w:hAnsiTheme="minorBidi" w:cstheme="minorBidi"/>
          <w:color w:val="000000" w:themeColor="text1"/>
        </w:rPr>
        <w:t>The proposed batteries must be fully compatible with existing rectifiers that are not planned for replacement.</w:t>
      </w:r>
    </w:p>
    <w:p w:rsidR="00D659F6" w:rsidRPr="00E20EDB" w:rsidRDefault="00D659F6" w:rsidP="00D659F6">
      <w:pPr>
        <w:pStyle w:val="ListParagraph"/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</w:p>
    <w:p w:rsidR="00D659F6" w:rsidRDefault="00D659F6" w:rsidP="00D659F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E20EDB">
        <w:rPr>
          <w:rFonts w:asciiTheme="minorBidi" w:hAnsiTheme="minorBidi" w:cstheme="minorBidi"/>
          <w:color w:val="000000" w:themeColor="text1"/>
        </w:rPr>
        <w:t>Batteries must be manufactured within a maximum of six (6) months prior to the purchase date</w:t>
      </w:r>
    </w:p>
    <w:p w:rsidR="00D659F6" w:rsidRPr="00573CA6" w:rsidRDefault="00D659F6" w:rsidP="00D659F6">
      <w:pPr>
        <w:pStyle w:val="ListParagraph"/>
        <w:rPr>
          <w:rFonts w:ascii="Cambria" w:hAnsi="Cambria" w:cs="Calibri"/>
          <w:color w:val="000000"/>
          <w:sz w:val="22"/>
          <w:szCs w:val="22"/>
        </w:rPr>
      </w:pPr>
    </w:p>
    <w:p w:rsidR="00D659F6" w:rsidRPr="00573CA6" w:rsidRDefault="00D659F6" w:rsidP="00D659F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573CA6">
        <w:rPr>
          <w:rFonts w:asciiTheme="minorBidi" w:hAnsiTheme="minorBidi" w:cstheme="minorBidi"/>
          <w:color w:val="000000" w:themeColor="text1"/>
        </w:rPr>
        <w:t>Each battery cabinet shall be equipped with a dedicated automati</w:t>
      </w:r>
      <w:r>
        <w:rPr>
          <w:rFonts w:asciiTheme="minorBidi" w:hAnsiTheme="minorBidi" w:cstheme="minorBidi"/>
          <w:color w:val="000000" w:themeColor="text1"/>
        </w:rPr>
        <w:t>c aerosol fire suppression unit.</w:t>
      </w:r>
    </w:p>
    <w:p w:rsidR="00D659F6" w:rsidRPr="00573CA6" w:rsidRDefault="00D659F6" w:rsidP="00D659F6">
      <w:pPr>
        <w:pStyle w:val="ListParagraph"/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</w:p>
    <w:p w:rsidR="00D659F6" w:rsidRPr="00E20EDB" w:rsidRDefault="00D659F6" w:rsidP="00D659F6">
      <w:pPr>
        <w:pStyle w:val="ListParagraph"/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</w:p>
    <w:p w:rsidR="00D659F6" w:rsidRPr="00E20EDB" w:rsidRDefault="00D659F6" w:rsidP="00D659F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E20EDB">
        <w:rPr>
          <w:rFonts w:asciiTheme="minorBidi" w:hAnsiTheme="minorBidi" w:cstheme="minorBidi"/>
          <w:color w:val="000000" w:themeColor="text1"/>
        </w:rPr>
        <w:t>The batteries shall possess valid international safety certifications:</w:t>
      </w:r>
    </w:p>
    <w:p w:rsidR="00D659F6" w:rsidRPr="00081016" w:rsidRDefault="00D659F6" w:rsidP="00D659F6">
      <w:pPr>
        <w:pStyle w:val="ListParagraph"/>
        <w:numPr>
          <w:ilvl w:val="1"/>
          <w:numId w:val="3"/>
        </w:numPr>
      </w:pPr>
      <w:r w:rsidRPr="00E20EDB">
        <w:t>IEC 62619</w:t>
      </w:r>
      <w:r w:rsidRPr="00081016">
        <w:t xml:space="preserve"> (Industrial Lithium Cells/Batteries)</w:t>
      </w:r>
    </w:p>
    <w:p w:rsidR="00D659F6" w:rsidRPr="00081016" w:rsidRDefault="00D659F6" w:rsidP="00D659F6">
      <w:pPr>
        <w:numPr>
          <w:ilvl w:val="1"/>
          <w:numId w:val="3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  <w:sz w:val="24"/>
          <w:szCs w:val="24"/>
        </w:rPr>
      </w:pPr>
      <w:r w:rsidRPr="00E20EDB">
        <w:rPr>
          <w:rFonts w:asciiTheme="minorBidi" w:hAnsiTheme="minorBidi" w:cstheme="minorBidi"/>
          <w:color w:val="000000" w:themeColor="text1"/>
          <w:sz w:val="24"/>
          <w:szCs w:val="24"/>
        </w:rPr>
        <w:t>UN 38.3</w:t>
      </w:r>
      <w:r w:rsidRPr="00081016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 (Transport Safety)</w:t>
      </w:r>
    </w:p>
    <w:p w:rsidR="00D659F6" w:rsidRDefault="00D659F6" w:rsidP="00D659F6">
      <w:pPr>
        <w:numPr>
          <w:ilvl w:val="1"/>
          <w:numId w:val="3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  <w:sz w:val="24"/>
          <w:szCs w:val="24"/>
        </w:rPr>
      </w:pPr>
      <w:r w:rsidRPr="00E20EDB">
        <w:rPr>
          <w:rFonts w:asciiTheme="minorBidi" w:hAnsiTheme="minorBidi" w:cstheme="minorBidi"/>
          <w:color w:val="000000" w:themeColor="text1"/>
          <w:sz w:val="24"/>
          <w:szCs w:val="24"/>
        </w:rPr>
        <w:t>UL 1973 and/or UL 9540A</w:t>
      </w:r>
      <w:r w:rsidRPr="00081016">
        <w:rPr>
          <w:rFonts w:asciiTheme="minorBidi" w:hAnsiTheme="minorBidi" w:cstheme="minorBidi"/>
          <w:color w:val="000000" w:themeColor="text1"/>
          <w:sz w:val="24"/>
          <w:szCs w:val="24"/>
        </w:rPr>
        <w:t>, or equivalent recognized standa</w:t>
      </w:r>
      <w:r>
        <w:rPr>
          <w:rFonts w:asciiTheme="minorBidi" w:hAnsiTheme="minorBidi" w:cstheme="minorBidi"/>
          <w:color w:val="000000" w:themeColor="text1"/>
          <w:sz w:val="24"/>
          <w:szCs w:val="24"/>
        </w:rPr>
        <w:t>rds.</w:t>
      </w:r>
    </w:p>
    <w:p w:rsidR="00D659F6" w:rsidRPr="00573CA6" w:rsidRDefault="00D659F6" w:rsidP="00D659F6">
      <w:pPr>
        <w:spacing w:before="100" w:beforeAutospacing="1" w:after="100" w:afterAutospacing="1"/>
        <w:ind w:left="1440"/>
        <w:rPr>
          <w:rFonts w:asciiTheme="minorBidi" w:hAnsiTheme="minorBidi" w:cstheme="minorBidi"/>
          <w:color w:val="000000" w:themeColor="text1"/>
          <w:sz w:val="24"/>
          <w:szCs w:val="24"/>
        </w:rPr>
      </w:pPr>
    </w:p>
    <w:p w:rsidR="00D659F6" w:rsidRPr="00081016" w:rsidRDefault="00D659F6" w:rsidP="00D659F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081016">
        <w:rPr>
          <w:rFonts w:asciiTheme="minorBidi" w:hAnsiTheme="minorBidi" w:cstheme="minorBidi"/>
          <w:color w:val="000000" w:themeColor="text1"/>
        </w:rPr>
        <w:t xml:space="preserve">The battery system must include an </w:t>
      </w:r>
      <w:r w:rsidRPr="00E20EDB">
        <w:rPr>
          <w:rFonts w:asciiTheme="minorBidi" w:hAnsiTheme="minorBidi" w:cstheme="minorBidi"/>
          <w:color w:val="000000" w:themeColor="text1"/>
        </w:rPr>
        <w:t>integrated Battery Management System (BMS)</w:t>
      </w:r>
      <w:r w:rsidRPr="00081016">
        <w:rPr>
          <w:rFonts w:asciiTheme="minorBidi" w:hAnsiTheme="minorBidi" w:cstheme="minorBidi"/>
          <w:color w:val="000000" w:themeColor="text1"/>
        </w:rPr>
        <w:t xml:space="preserve"> with:</w:t>
      </w:r>
    </w:p>
    <w:p w:rsidR="00D659F6" w:rsidRPr="00585F11" w:rsidRDefault="00D659F6" w:rsidP="00D659F6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585F11">
        <w:rPr>
          <w:rFonts w:asciiTheme="minorBidi" w:hAnsiTheme="minorBidi" w:cstheme="minorBidi"/>
          <w:color w:val="000000" w:themeColor="text1"/>
        </w:rPr>
        <w:t>Cell voltage balancing</w:t>
      </w:r>
    </w:p>
    <w:p w:rsidR="00D659F6" w:rsidRPr="00081016" w:rsidRDefault="00D659F6" w:rsidP="00D659F6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081016">
        <w:rPr>
          <w:rFonts w:asciiTheme="minorBidi" w:hAnsiTheme="minorBidi" w:cstheme="minorBidi"/>
          <w:color w:val="000000" w:themeColor="text1"/>
        </w:rPr>
        <w:t>Temperature, voltage, and current protection</w:t>
      </w:r>
    </w:p>
    <w:p w:rsidR="00D659F6" w:rsidRPr="00081016" w:rsidRDefault="00D659F6" w:rsidP="00D659F6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081016">
        <w:rPr>
          <w:rFonts w:asciiTheme="minorBidi" w:hAnsiTheme="minorBidi" w:cstheme="minorBidi"/>
          <w:color w:val="000000" w:themeColor="text1"/>
        </w:rPr>
        <w:t>Overcharge, over-discharge, short-circuit, and over-temperature protection</w:t>
      </w:r>
    </w:p>
    <w:p w:rsidR="00D659F6" w:rsidRPr="00E20EDB" w:rsidRDefault="00D659F6" w:rsidP="00D659F6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081016">
        <w:rPr>
          <w:rFonts w:asciiTheme="minorBidi" w:hAnsiTheme="minorBidi" w:cstheme="minorBidi"/>
          <w:color w:val="000000" w:themeColor="text1"/>
        </w:rPr>
        <w:t>Automatic isolation under fault conditions</w:t>
      </w:r>
    </w:p>
    <w:p w:rsidR="00D659F6" w:rsidRPr="00E20EDB" w:rsidRDefault="00D659F6" w:rsidP="00D659F6">
      <w:pPr>
        <w:spacing w:before="100" w:beforeAutospacing="1" w:after="100" w:afterAutospacing="1"/>
        <w:rPr>
          <w:rFonts w:asciiTheme="minorBidi" w:hAnsiTheme="minorBidi" w:cstheme="minorBidi"/>
          <w:color w:val="000000" w:themeColor="text1"/>
          <w:sz w:val="24"/>
          <w:szCs w:val="24"/>
        </w:rPr>
      </w:pPr>
    </w:p>
    <w:p w:rsidR="00D659F6" w:rsidRPr="00081016" w:rsidRDefault="00D659F6" w:rsidP="00D659F6">
      <w:pPr>
        <w:spacing w:before="100" w:beforeAutospacing="1" w:after="100" w:afterAutospacing="1"/>
        <w:rPr>
          <w:rFonts w:asciiTheme="minorBidi" w:hAnsiTheme="minorBidi" w:cstheme="minorBidi"/>
          <w:color w:val="000000" w:themeColor="text1"/>
          <w:sz w:val="24"/>
          <w:szCs w:val="24"/>
        </w:rPr>
      </w:pPr>
    </w:p>
    <w:p w:rsidR="00D659F6" w:rsidRPr="00585F11" w:rsidRDefault="00D659F6" w:rsidP="00D659F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585F11">
        <w:rPr>
          <w:rFonts w:asciiTheme="minorBidi" w:hAnsiTheme="minorBidi" w:cstheme="minorBidi"/>
          <w:color w:val="000000" w:themeColor="text1"/>
        </w:rPr>
        <w:t xml:space="preserve">The proposed rectifiers must be fully compatible with the supplied </w:t>
      </w:r>
      <w:proofErr w:type="spellStart"/>
      <w:r w:rsidRPr="00585F11">
        <w:rPr>
          <w:rFonts w:asciiTheme="minorBidi" w:hAnsiTheme="minorBidi" w:cstheme="minorBidi"/>
          <w:color w:val="000000" w:themeColor="text1"/>
        </w:rPr>
        <w:t>LiFePO</w:t>
      </w:r>
      <w:proofErr w:type="spellEnd"/>
      <w:r w:rsidRPr="00585F11">
        <w:rPr>
          <w:rFonts w:ascii="Cambria Math" w:hAnsi="Cambria Math" w:cs="Cambria Math"/>
          <w:color w:val="000000" w:themeColor="text1"/>
        </w:rPr>
        <w:t>₄</w:t>
      </w:r>
      <w:r w:rsidRPr="00585F11">
        <w:rPr>
          <w:rFonts w:asciiTheme="minorBidi" w:hAnsiTheme="minorBidi" w:cstheme="minorBidi"/>
          <w:color w:val="000000" w:themeColor="text1"/>
        </w:rPr>
        <w:t xml:space="preserve"> batteries, including but not limited to:</w:t>
      </w:r>
    </w:p>
    <w:p w:rsidR="00D659F6" w:rsidRPr="00585F11" w:rsidRDefault="00D659F6" w:rsidP="00D659F6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E20EDB">
        <w:rPr>
          <w:rFonts w:asciiTheme="minorBidi" w:hAnsiTheme="minorBidi" w:cstheme="minorBidi"/>
          <w:color w:val="000000" w:themeColor="text1"/>
        </w:rPr>
        <w:t>Charge voltage window</w:t>
      </w:r>
    </w:p>
    <w:p w:rsidR="00D659F6" w:rsidRPr="00E20EDB" w:rsidRDefault="00D659F6" w:rsidP="00D659F6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E20EDB">
        <w:rPr>
          <w:rFonts w:asciiTheme="minorBidi" w:hAnsiTheme="minorBidi" w:cstheme="minorBidi"/>
          <w:color w:val="000000" w:themeColor="text1"/>
        </w:rPr>
        <w:t>Communication protocols (CAN, RS485, Modbus, SNMP, etc.)</w:t>
      </w:r>
    </w:p>
    <w:p w:rsidR="00D659F6" w:rsidRDefault="00D659F6" w:rsidP="00D659F6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E20EDB">
        <w:rPr>
          <w:rFonts w:asciiTheme="minorBidi" w:hAnsiTheme="minorBidi" w:cstheme="minorBidi"/>
          <w:color w:val="000000" w:themeColor="text1"/>
        </w:rPr>
        <w:t>BMS integration and data exchange</w:t>
      </w:r>
    </w:p>
    <w:p w:rsidR="00D659F6" w:rsidRPr="00E20EDB" w:rsidRDefault="00D659F6" w:rsidP="00D659F6">
      <w:pPr>
        <w:pStyle w:val="ListParagraph"/>
        <w:spacing w:before="100" w:beforeAutospacing="1" w:after="100" w:afterAutospacing="1"/>
        <w:ind w:left="1440"/>
        <w:rPr>
          <w:rFonts w:asciiTheme="minorBidi" w:hAnsiTheme="minorBidi" w:cstheme="minorBidi"/>
          <w:color w:val="000000" w:themeColor="text1"/>
        </w:rPr>
      </w:pPr>
    </w:p>
    <w:p w:rsidR="00D659F6" w:rsidRDefault="00D659F6" w:rsidP="00D659F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585F11">
        <w:rPr>
          <w:rFonts w:asciiTheme="minorBidi" w:hAnsiTheme="minorBidi" w:cstheme="minorBidi"/>
          <w:color w:val="000000" w:themeColor="text1"/>
        </w:rPr>
        <w:t>Rectifiers must comply with IEC 62368-1 or IEC 60950-1 standards.</w:t>
      </w:r>
    </w:p>
    <w:p w:rsidR="00D659F6" w:rsidRDefault="00D659F6" w:rsidP="00D659F6">
      <w:pPr>
        <w:pStyle w:val="ListParagraph"/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</w:p>
    <w:p w:rsidR="00D659F6" w:rsidRDefault="00D659F6" w:rsidP="00D659F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585F11">
        <w:rPr>
          <w:rFonts w:asciiTheme="minorBidi" w:hAnsiTheme="minorBidi" w:cstheme="minorBidi"/>
          <w:color w:val="000000" w:themeColor="text1"/>
        </w:rPr>
        <w:t>Both rectifiers and batteries must be UL/US or CE/EN listed.</w:t>
      </w:r>
    </w:p>
    <w:p w:rsidR="00D659F6" w:rsidRPr="00585F11" w:rsidRDefault="00D659F6" w:rsidP="00D659F6">
      <w:pPr>
        <w:pStyle w:val="ListParagraph"/>
        <w:rPr>
          <w:rFonts w:asciiTheme="minorBidi" w:hAnsiTheme="minorBidi" w:cstheme="minorBidi"/>
          <w:color w:val="000000" w:themeColor="text1"/>
        </w:rPr>
      </w:pPr>
    </w:p>
    <w:p w:rsidR="00D659F6" w:rsidRPr="00585F11" w:rsidRDefault="00D659F6" w:rsidP="00D659F6">
      <w:pPr>
        <w:pStyle w:val="ListParagraph"/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</w:p>
    <w:p w:rsidR="00D659F6" w:rsidRPr="00585F11" w:rsidRDefault="00D659F6" w:rsidP="00D659F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585F11">
        <w:rPr>
          <w:rFonts w:asciiTheme="minorBidi" w:hAnsiTheme="minorBidi" w:cstheme="minorBidi"/>
          <w:color w:val="000000" w:themeColor="text1"/>
        </w:rPr>
        <w:t>All provided equipment shall be procured from licensed distributors operating in the Lebanese market.</w:t>
      </w:r>
    </w:p>
    <w:p w:rsidR="00D659F6" w:rsidRPr="00E20EDB" w:rsidRDefault="00D659F6" w:rsidP="00D659F6">
      <w:pPr>
        <w:spacing w:before="100" w:beforeAutospacing="1" w:after="100" w:afterAutospacing="1"/>
        <w:ind w:left="720"/>
        <w:rPr>
          <w:rFonts w:asciiTheme="minorBidi" w:hAnsiTheme="minorBidi" w:cstheme="minorBidi"/>
          <w:color w:val="000000" w:themeColor="text1"/>
          <w:sz w:val="24"/>
          <w:szCs w:val="24"/>
        </w:rPr>
      </w:pPr>
      <w:bookmarkStart w:id="2" w:name="_GoBack"/>
      <w:bookmarkEnd w:id="2"/>
    </w:p>
    <w:p w:rsidR="00D659F6" w:rsidRDefault="00D659F6" w:rsidP="00D659F6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585F11">
        <w:rPr>
          <w:rFonts w:asciiTheme="minorBidi" w:hAnsiTheme="minorBidi" w:cstheme="minorBidi"/>
          <w:color w:val="000000" w:themeColor="text1"/>
        </w:rPr>
        <w:t>The bidder shall comply with the provisions of:</w:t>
      </w:r>
    </w:p>
    <w:p w:rsidR="00D659F6" w:rsidRPr="00386EE7" w:rsidRDefault="00D659F6" w:rsidP="00D659F6">
      <w:pPr>
        <w:pStyle w:val="ListParagraph"/>
        <w:rPr>
          <w:rFonts w:asciiTheme="minorBidi" w:hAnsiTheme="minorBidi" w:cstheme="minorBidi"/>
          <w:color w:val="000000" w:themeColor="text1"/>
        </w:rPr>
      </w:pPr>
    </w:p>
    <w:p w:rsidR="00D659F6" w:rsidRDefault="00D659F6" w:rsidP="00D659F6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386EE7">
        <w:rPr>
          <w:rFonts w:asciiTheme="minorBidi" w:hAnsiTheme="minorBidi" w:cstheme="minorBidi"/>
          <w:color w:val="000000" w:themeColor="text1"/>
        </w:rPr>
        <w:t>Article 2 (Sub-clause 30, item C) and</w:t>
      </w:r>
    </w:p>
    <w:p w:rsidR="00D659F6" w:rsidRDefault="00D659F6" w:rsidP="00D659F6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386EE7">
        <w:rPr>
          <w:rFonts w:asciiTheme="minorBidi" w:hAnsiTheme="minorBidi" w:cstheme="minorBidi"/>
          <w:color w:val="000000" w:themeColor="text1"/>
        </w:rPr>
        <w:t>Article 8 (Sub-clause 1, item B)</w:t>
      </w:r>
      <w:r w:rsidRPr="00386EE7">
        <w:rPr>
          <w:rFonts w:asciiTheme="minorBidi" w:hAnsiTheme="minorBidi" w:cstheme="minorBidi"/>
          <w:color w:val="000000" w:themeColor="text1"/>
        </w:rPr>
        <w:br/>
        <w:t>of the Public Procurement Law no. 244/2022, whereby only one offer may be submitted.</w:t>
      </w:r>
    </w:p>
    <w:p w:rsidR="00D659F6" w:rsidRDefault="00D659F6" w:rsidP="00D659F6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386EE7">
        <w:rPr>
          <w:rFonts w:asciiTheme="minorBidi" w:hAnsiTheme="minorBidi" w:cstheme="minorBidi"/>
          <w:color w:val="000000" w:themeColor="text1"/>
        </w:rPr>
        <w:t>A valid Bid Bond shall be included in the sealed technical envelope.</w:t>
      </w:r>
    </w:p>
    <w:p w:rsidR="00D659F6" w:rsidRDefault="00D659F6" w:rsidP="00D659F6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Theme="minorBidi" w:hAnsiTheme="minorBidi" w:cstheme="minorBidi"/>
          <w:color w:val="000000" w:themeColor="text1"/>
        </w:rPr>
      </w:pPr>
      <w:r w:rsidRPr="00386EE7">
        <w:rPr>
          <w:rFonts w:asciiTheme="minorBidi" w:hAnsiTheme="minorBidi" w:cstheme="minorBidi"/>
          <w:color w:val="000000" w:themeColor="text1"/>
        </w:rPr>
        <w:t>Any figures, prices, or price indicators mentioned in the technical offer shall lead to immediate disqualification of the bidder.</w:t>
      </w:r>
    </w:p>
    <w:p w:rsidR="00D659F6" w:rsidRPr="00386EE7" w:rsidRDefault="00D659F6" w:rsidP="00D659F6">
      <w:pPr>
        <w:pStyle w:val="ListParagraph"/>
        <w:spacing w:before="100" w:beforeAutospacing="1" w:after="100" w:afterAutospacing="1"/>
        <w:ind w:left="1080"/>
        <w:rPr>
          <w:rFonts w:asciiTheme="minorBidi" w:hAnsiTheme="minorBidi" w:cstheme="minorBidi"/>
          <w:color w:val="000000" w:themeColor="text1"/>
        </w:rPr>
      </w:pPr>
    </w:p>
    <w:p w:rsidR="00D659F6" w:rsidRDefault="00D659F6" w:rsidP="00D659F6">
      <w:pPr>
        <w:pStyle w:val="NormalWeb"/>
        <w:numPr>
          <w:ilvl w:val="0"/>
          <w:numId w:val="4"/>
        </w:numPr>
        <w:rPr>
          <w:rFonts w:asciiTheme="minorBidi" w:hAnsiTheme="minorBidi" w:cstheme="minorBidi"/>
          <w:color w:val="000000" w:themeColor="text1"/>
        </w:rPr>
      </w:pPr>
      <w:r w:rsidRPr="00E20EDB">
        <w:rPr>
          <w:rFonts w:asciiTheme="minorBidi" w:hAnsiTheme="minorBidi" w:cstheme="minorBidi"/>
          <w:color w:val="000000" w:themeColor="text1"/>
        </w:rPr>
        <w:lastRenderedPageBreak/>
        <w:t xml:space="preserve">Any company whose shareholder, partner, manager, or board member has </w:t>
      </w:r>
      <w:r w:rsidRPr="00386EE7">
        <w:rPr>
          <w:rFonts w:asciiTheme="minorBidi" w:hAnsiTheme="minorBidi" w:cstheme="minorBidi"/>
          <w:color w:val="000000" w:themeColor="text1"/>
        </w:rPr>
        <w:t>demonstrated hostility, defamation, or disrespect</w:t>
      </w:r>
      <w:r w:rsidRPr="00E20EDB">
        <w:rPr>
          <w:rFonts w:asciiTheme="minorBidi" w:hAnsiTheme="minorBidi" w:cstheme="minorBidi"/>
          <w:color w:val="000000" w:themeColor="text1"/>
        </w:rPr>
        <w:t xml:space="preserve"> toward </w:t>
      </w:r>
      <w:r w:rsidRPr="00E20EDB">
        <w:rPr>
          <w:rFonts w:asciiTheme="minorBidi" w:hAnsiTheme="minorBidi" w:cstheme="minorBidi"/>
          <w:b/>
          <w:bCs/>
          <w:color w:val="000000" w:themeColor="text1"/>
        </w:rPr>
        <w:t>MIC2</w:t>
      </w:r>
      <w:r w:rsidRPr="00E20EDB">
        <w:rPr>
          <w:rFonts w:asciiTheme="minorBidi" w:hAnsiTheme="minorBidi" w:cstheme="minorBidi"/>
          <w:color w:val="000000" w:themeColor="text1"/>
        </w:rPr>
        <w:t xml:space="preserve"> or any of its managers or employees—whether verbally, in writing, or through any other means—shall be </w:t>
      </w:r>
      <w:r w:rsidRPr="00E20EDB">
        <w:rPr>
          <w:rFonts w:asciiTheme="minorBidi" w:hAnsiTheme="minorBidi" w:cstheme="minorBidi"/>
          <w:b/>
          <w:bCs/>
          <w:color w:val="000000" w:themeColor="text1"/>
        </w:rPr>
        <w:t>automatically disqualified</w:t>
      </w:r>
      <w:r w:rsidRPr="00E20EDB">
        <w:rPr>
          <w:rFonts w:asciiTheme="minorBidi" w:hAnsiTheme="minorBidi" w:cstheme="minorBidi"/>
          <w:color w:val="000000" w:themeColor="text1"/>
        </w:rPr>
        <w:t xml:space="preserve"> from participating in the tender.</w:t>
      </w:r>
    </w:p>
    <w:p w:rsidR="00D659F6" w:rsidRPr="00E20EDB" w:rsidRDefault="00D659F6" w:rsidP="00D659F6">
      <w:pPr>
        <w:pStyle w:val="NormalWeb"/>
        <w:numPr>
          <w:ilvl w:val="0"/>
          <w:numId w:val="4"/>
        </w:numPr>
        <w:jc w:val="both"/>
        <w:rPr>
          <w:rFonts w:asciiTheme="minorBidi" w:hAnsiTheme="minorBidi" w:cstheme="minorBidi"/>
          <w:color w:val="000000" w:themeColor="text1"/>
        </w:rPr>
      </w:pPr>
      <w:r w:rsidRPr="00E20EDB">
        <w:rPr>
          <w:rFonts w:asciiTheme="minorBidi" w:hAnsiTheme="minorBidi" w:cstheme="minorBidi"/>
          <w:color w:val="000000" w:themeColor="text1"/>
        </w:rPr>
        <w:t xml:space="preserve">If such behavior occurs </w:t>
      </w:r>
      <w:r w:rsidRPr="00E20EDB">
        <w:rPr>
          <w:rFonts w:asciiTheme="minorBidi" w:hAnsiTheme="minorBidi" w:cstheme="minorBidi"/>
          <w:b/>
          <w:bCs/>
          <w:color w:val="000000" w:themeColor="text1"/>
        </w:rPr>
        <w:t>after the proposal submission</w:t>
      </w:r>
      <w:r w:rsidRPr="00E20EDB">
        <w:rPr>
          <w:rFonts w:asciiTheme="minorBidi" w:hAnsiTheme="minorBidi" w:cstheme="minorBidi"/>
          <w:color w:val="000000" w:themeColor="text1"/>
        </w:rPr>
        <w:t xml:space="preserve">, the company shall be </w:t>
      </w:r>
      <w:r w:rsidRPr="00E20EDB">
        <w:rPr>
          <w:rFonts w:asciiTheme="minorBidi" w:hAnsiTheme="minorBidi" w:cstheme="minorBidi"/>
          <w:b/>
          <w:bCs/>
          <w:color w:val="000000" w:themeColor="text1"/>
        </w:rPr>
        <w:t>immediately disqualified</w:t>
      </w:r>
      <w:r w:rsidRPr="00E20EDB">
        <w:rPr>
          <w:rFonts w:asciiTheme="minorBidi" w:hAnsiTheme="minorBidi" w:cstheme="minorBidi"/>
          <w:color w:val="000000" w:themeColor="text1"/>
        </w:rPr>
        <w:t xml:space="preserve"> without liability to MIC2 and </w:t>
      </w:r>
      <w:r w:rsidRPr="00E20EDB">
        <w:rPr>
          <w:rFonts w:asciiTheme="minorBidi" w:hAnsiTheme="minorBidi" w:cstheme="minorBidi"/>
          <w:b/>
          <w:bCs/>
          <w:color w:val="000000" w:themeColor="text1"/>
        </w:rPr>
        <w:t>without any judicial action</w:t>
      </w:r>
      <w:r w:rsidRPr="00E20EDB">
        <w:rPr>
          <w:rFonts w:asciiTheme="minorBidi" w:hAnsiTheme="minorBidi" w:cstheme="minorBidi"/>
          <w:color w:val="000000" w:themeColor="text1"/>
        </w:rPr>
        <w:t xml:space="preserve"> being required.</w:t>
      </w:r>
    </w:p>
    <w:p w:rsidR="00D659F6" w:rsidRPr="00E20EDB" w:rsidRDefault="00D659F6" w:rsidP="00D659F6">
      <w:pPr>
        <w:spacing w:before="100" w:beforeAutospacing="1" w:after="100" w:afterAutospacing="1"/>
        <w:rPr>
          <w:rFonts w:asciiTheme="minorBidi" w:hAnsiTheme="minorBidi" w:cstheme="minorBidi"/>
          <w:color w:val="000000" w:themeColor="text1"/>
          <w:sz w:val="24"/>
          <w:szCs w:val="24"/>
        </w:rPr>
      </w:pPr>
    </w:p>
    <w:p w:rsidR="00D61561" w:rsidRDefault="00D61561"/>
    <w:sectPr w:rsidR="00D61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C0D53"/>
    <w:multiLevelType w:val="multilevel"/>
    <w:tmpl w:val="40068A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A1605"/>
    <w:multiLevelType w:val="hybridMultilevel"/>
    <w:tmpl w:val="0204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F0D0C"/>
    <w:multiLevelType w:val="multilevel"/>
    <w:tmpl w:val="9F6A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C5C01"/>
    <w:multiLevelType w:val="multilevel"/>
    <w:tmpl w:val="C03E85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C4CCD"/>
    <w:multiLevelType w:val="multilevel"/>
    <w:tmpl w:val="40068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A7860"/>
    <w:multiLevelType w:val="multilevel"/>
    <w:tmpl w:val="732CC4E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599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F6"/>
    <w:rsid w:val="00543FCD"/>
    <w:rsid w:val="00590E9B"/>
    <w:rsid w:val="00707E2A"/>
    <w:rsid w:val="00D61561"/>
    <w:rsid w:val="00D659F6"/>
    <w:rsid w:val="00D9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C8AFD"/>
  <w15:chartTrackingRefBased/>
  <w15:docId w15:val="{BDF4510F-35FA-4A3B-99D7-4195418B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aliases w:val="h1,Head 1 (Chapter heading),1,app heading 1,l1,H1,Heading 2-SOW,R1,H11,Level 1 Topic Heading,E1,Chapter,Lev 1,hd1,AST Section heading,Heading One,Heading A"/>
    <w:basedOn w:val="Normal"/>
    <w:next w:val="Normal"/>
    <w:link w:val="Heading1Char"/>
    <w:uiPriority w:val="9"/>
    <w:qFormat/>
    <w:rsid w:val="00D659F6"/>
    <w:pPr>
      <w:numPr>
        <w:numId w:val="2"/>
      </w:numPr>
      <w:spacing w:before="660" w:after="240" w:line="276" w:lineRule="auto"/>
      <w:contextualSpacing/>
      <w:jc w:val="both"/>
      <w:outlineLvl w:val="0"/>
    </w:pPr>
    <w:rPr>
      <w:rFonts w:asciiTheme="minorBidi" w:eastAsiaTheme="majorEastAsia" w:hAnsiTheme="minorBidi" w:cstheme="minorBidi"/>
      <w:b/>
      <w:bCs/>
      <w:smallCaps/>
      <w:color w:val="2F5496" w:themeColor="accent5" w:themeShade="BF"/>
      <w:kern w:val="32"/>
      <w:sz w:val="36"/>
      <w:szCs w:val="36"/>
    </w:rPr>
  </w:style>
  <w:style w:type="paragraph" w:styleId="Heading2">
    <w:name w:val="heading 2"/>
    <w:aliases w:val="h2,l2,list 2,list 2,heading 2TOC,Head 2,List level 2,2,Header 2,PA Major Section,Major Section,orderpara1,H2,Head2A,R2,heading 2,H21,Level 2 Topic Heading,Heading 2 + Numbering,H22,H211,H23,H212,H221,H2111,H24,H213,H222,H2112,H231,H2121,H2211"/>
    <w:basedOn w:val="Normal"/>
    <w:next w:val="Normal"/>
    <w:link w:val="Heading2Char"/>
    <w:uiPriority w:val="9"/>
    <w:unhideWhenUsed/>
    <w:qFormat/>
    <w:rsid w:val="00D659F6"/>
    <w:pPr>
      <w:keepNext/>
      <w:numPr>
        <w:ilvl w:val="1"/>
        <w:numId w:val="2"/>
      </w:numPr>
      <w:spacing w:before="240" w:after="240"/>
      <w:outlineLvl w:val="1"/>
    </w:pPr>
    <w:rPr>
      <w:rFonts w:asciiTheme="majorBidi" w:eastAsiaTheme="majorEastAsia" w:hAnsiTheme="majorBidi" w:cstheme="majorBidi"/>
      <w:b/>
      <w:bCs/>
      <w:i/>
      <w:iCs/>
      <w:sz w:val="28"/>
      <w:szCs w:val="28"/>
    </w:rPr>
  </w:style>
  <w:style w:type="paragraph" w:styleId="Heading3">
    <w:name w:val="heading 3"/>
    <w:aliases w:val="3,orderpara2,h3,H3,Level 3 Topic Heading,Lev 3,head3,AST Heading 1.1.1,Heading Three,Heading 3 Char1,Heading 3 Char Char,H31 Char,h31 Char,h32 Char,Para3 Char,(Alt+3) Char,(Alt+3)1 Char,(Alt+3)2 Char,(Alt+3)3 Char,(Alt+3)4 Char,(Alt+3)5 Char"/>
    <w:basedOn w:val="Normal"/>
    <w:next w:val="Normal"/>
    <w:link w:val="Heading3Char"/>
    <w:unhideWhenUsed/>
    <w:qFormat/>
    <w:rsid w:val="00D659F6"/>
    <w:pPr>
      <w:keepNext/>
      <w:numPr>
        <w:ilvl w:val="2"/>
        <w:numId w:val="2"/>
      </w:numPr>
      <w:spacing w:before="240" w:after="60"/>
      <w:outlineLvl w:val="2"/>
    </w:pPr>
    <w:rPr>
      <w:rFonts w:ascii="Arial" w:eastAsiaTheme="majorEastAsia" w:hAnsi="Arial" w:cstheme="majorBidi"/>
      <w:bCs/>
      <w:sz w:val="24"/>
      <w:szCs w:val="26"/>
    </w:rPr>
  </w:style>
  <w:style w:type="paragraph" w:styleId="Heading4">
    <w:name w:val="heading 4"/>
    <w:aliases w:val="h4"/>
    <w:basedOn w:val="Normal"/>
    <w:next w:val="Normal"/>
    <w:link w:val="Heading4Char"/>
    <w:unhideWhenUsed/>
    <w:qFormat/>
    <w:rsid w:val="00D659F6"/>
    <w:pPr>
      <w:keepNext/>
      <w:numPr>
        <w:ilvl w:val="3"/>
        <w:numId w:val="2"/>
      </w:numPr>
      <w:spacing w:before="240" w:after="60"/>
      <w:ind w:left="1728"/>
      <w:outlineLvl w:val="3"/>
    </w:pPr>
    <w:rPr>
      <w:rFonts w:ascii="Arial" w:eastAsiaTheme="minorEastAsia" w:hAnsi="Arial" w:cstheme="minorBidi"/>
      <w:sz w:val="24"/>
      <w:szCs w:val="28"/>
    </w:rPr>
  </w:style>
  <w:style w:type="paragraph" w:styleId="Heading5">
    <w:name w:val="heading 5"/>
    <w:aliases w:val="Lev 5,Heading 5 Char1 Char,Heading 5 Char Char Char,Para5 Char Char Char,h5 Char Char Char,h51 Char Char Char,h52 Char Char Char,L5 Char Char Char,H5 Char Char Char,Level 3 - i Char Char Char,Document Title 2 Char Char Char,Para5 Char,h5,L5"/>
    <w:basedOn w:val="Normal"/>
    <w:next w:val="Normal"/>
    <w:link w:val="Heading5Char"/>
    <w:uiPriority w:val="9"/>
    <w:unhideWhenUsed/>
    <w:qFormat/>
    <w:rsid w:val="00D659F6"/>
    <w:pPr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aliases w:val="Lev 6"/>
    <w:basedOn w:val="Normal"/>
    <w:next w:val="Normal"/>
    <w:link w:val="Heading6Char"/>
    <w:uiPriority w:val="9"/>
    <w:qFormat/>
    <w:rsid w:val="00D659F6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aliases w:val="Lev 7"/>
    <w:basedOn w:val="Normal"/>
    <w:next w:val="Normal"/>
    <w:link w:val="Heading7Char"/>
    <w:uiPriority w:val="9"/>
    <w:unhideWhenUsed/>
    <w:qFormat/>
    <w:rsid w:val="00D659F6"/>
    <w:pPr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aliases w:val="Annex,Appendix,Lev 8"/>
    <w:basedOn w:val="Normal"/>
    <w:next w:val="Normal"/>
    <w:link w:val="Heading8Char"/>
    <w:uiPriority w:val="9"/>
    <w:unhideWhenUsed/>
    <w:qFormat/>
    <w:rsid w:val="00D659F6"/>
    <w:pPr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aliases w:val="Annex1, Appen 1,Appen 1,Lev 9,Body text indent bulleted 2"/>
    <w:basedOn w:val="Normal"/>
    <w:next w:val="Normal"/>
    <w:link w:val="Heading9Char"/>
    <w:uiPriority w:val="9"/>
    <w:unhideWhenUsed/>
    <w:qFormat/>
    <w:rsid w:val="00D659F6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 1 (Chapter heading) Char,1 Char,app heading 1 Char,l1 Char,H1 Char,Heading 2-SOW Char,R1 Char,H11 Char,Level 1 Topic Heading Char,E1 Char,Chapter Char,Lev 1 Char,hd1 Char,AST Section heading Char,Heading One Char"/>
    <w:basedOn w:val="DefaultParagraphFont"/>
    <w:link w:val="Heading1"/>
    <w:uiPriority w:val="9"/>
    <w:rsid w:val="00D659F6"/>
    <w:rPr>
      <w:rFonts w:asciiTheme="minorBidi" w:eastAsiaTheme="majorEastAsia" w:hAnsiTheme="minorBidi"/>
      <w:b/>
      <w:bCs/>
      <w:smallCaps/>
      <w:color w:val="2F5496" w:themeColor="accent5" w:themeShade="BF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59F6"/>
    <w:rPr>
      <w:rFonts w:asciiTheme="majorBidi" w:eastAsiaTheme="majorEastAsia" w:hAnsiTheme="majorBid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659F6"/>
    <w:rPr>
      <w:rFonts w:ascii="Arial" w:eastAsiaTheme="majorEastAsia" w:hAnsi="Arial" w:cstheme="majorBidi"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D659F6"/>
    <w:rPr>
      <w:rFonts w:ascii="Arial" w:eastAsiaTheme="minorEastAsia" w:hAnsi="Arial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659F6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D659F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D659F6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D659F6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D659F6"/>
    <w:rPr>
      <w:rFonts w:asciiTheme="majorHAnsi" w:eastAsiaTheme="majorEastAsia" w:hAnsiTheme="majorHAnsi" w:cstheme="majorBidi"/>
    </w:rPr>
  </w:style>
  <w:style w:type="paragraph" w:styleId="ListParagraph">
    <w:name w:val="List Paragraph"/>
    <w:aliases w:val="List Paragraph - Bullets,- Bullets,lista puntata,lp1,Elenco Bullet point,lista puntata1,lp11,Elenco Bullet point1,lista puntata2,lp12,List Paragraph2,Elenco Bullet point2,lista puntata3,lp13,List Paragraph3,Elenco Bullet point3"/>
    <w:basedOn w:val="Normal"/>
    <w:link w:val="ListParagraphChar"/>
    <w:uiPriority w:val="34"/>
    <w:qFormat/>
    <w:rsid w:val="00D659F6"/>
    <w:pPr>
      <w:ind w:left="720"/>
      <w:contextualSpacing/>
    </w:pPr>
    <w:rPr>
      <w:rFonts w:ascii="Arial" w:hAnsi="Arial"/>
      <w:sz w:val="24"/>
      <w:szCs w:val="24"/>
    </w:rPr>
  </w:style>
  <w:style w:type="character" w:customStyle="1" w:styleId="ListParagraphChar">
    <w:name w:val="List Paragraph Char"/>
    <w:aliases w:val="List Paragraph - Bullets Char,- Bullets Char,lista puntata Char,lp1 Char,Elenco Bullet point Char,lista puntata1 Char,lp11 Char,Elenco Bullet point1 Char,lista puntata2 Char,lp12 Char,List Paragraph2 Char,Elenco Bullet point2 Char"/>
    <w:basedOn w:val="DefaultParagraphFont"/>
    <w:link w:val="ListParagraph"/>
    <w:uiPriority w:val="34"/>
    <w:rsid w:val="00D659F6"/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659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3041</Characters>
  <Application>Microsoft Office Word</Application>
  <DocSecurity>0</DocSecurity>
  <Lines>70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Rabih Saab</dc:creator>
  <cp:keywords/>
  <dc:description/>
  <cp:lastModifiedBy>Rabih Saab</cp:lastModifiedBy>
  <cp:revision>2</cp:revision>
  <dcterms:created xsi:type="dcterms:W3CDTF">2025-11-05T07:19:00Z</dcterms:created>
  <dcterms:modified xsi:type="dcterms:W3CDTF">2025-11-05T07:21:00Z</dcterms:modified>
</cp:coreProperties>
</file>